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07AB" w14:textId="553FCDB1" w:rsidR="00DF337D" w:rsidRPr="00D9543F" w:rsidRDefault="00DF337D" w:rsidP="00D06212">
      <w:pPr>
        <w:jc w:val="center"/>
        <w:rPr>
          <w:rFonts w:ascii="Arial" w:hAnsi="Arial" w:cs="Arial"/>
          <w:b/>
          <w:bCs/>
          <w:sz w:val="22"/>
          <w:szCs w:val="22"/>
          <w:u w:val="single"/>
        </w:rPr>
      </w:pPr>
      <w:bookmarkStart w:id="0" w:name="_Hlk150959348"/>
      <w:r w:rsidRPr="00D9543F">
        <w:rPr>
          <w:rFonts w:ascii="Arial" w:hAnsi="Arial" w:cs="Arial"/>
          <w:b/>
          <w:bCs/>
          <w:sz w:val="22"/>
          <w:szCs w:val="22"/>
          <w:u w:val="single"/>
        </w:rPr>
        <w:t xml:space="preserve">Practice </w:t>
      </w:r>
      <w:r w:rsidR="00D06212" w:rsidRPr="00D9543F">
        <w:rPr>
          <w:rFonts w:ascii="Arial" w:hAnsi="Arial" w:cs="Arial"/>
          <w:b/>
          <w:bCs/>
          <w:sz w:val="22"/>
          <w:szCs w:val="22"/>
          <w:u w:val="single"/>
        </w:rPr>
        <w:t xml:space="preserve">‘How-to’ </w:t>
      </w:r>
      <w:r w:rsidRPr="00D9543F">
        <w:rPr>
          <w:rFonts w:ascii="Arial" w:hAnsi="Arial" w:cs="Arial"/>
          <w:b/>
          <w:bCs/>
          <w:sz w:val="22"/>
          <w:szCs w:val="22"/>
          <w:u w:val="single"/>
        </w:rPr>
        <w:t xml:space="preserve">Guide for Switching Patients from </w:t>
      </w:r>
      <w:proofErr w:type="spellStart"/>
      <w:r w:rsidRPr="00D9543F">
        <w:rPr>
          <w:rFonts w:ascii="Arial" w:hAnsi="Arial" w:cs="Arial"/>
          <w:b/>
          <w:bCs/>
          <w:sz w:val="22"/>
          <w:szCs w:val="22"/>
          <w:u w:val="single"/>
        </w:rPr>
        <w:t>Fostair</w:t>
      </w:r>
      <w:proofErr w:type="spellEnd"/>
      <w:r w:rsidRPr="00D9543F">
        <w:rPr>
          <w:rFonts w:ascii="Arial" w:hAnsi="Arial" w:cs="Arial"/>
          <w:b/>
          <w:bCs/>
          <w:sz w:val="22"/>
          <w:szCs w:val="22"/>
          <w:u w:val="single"/>
        </w:rPr>
        <w:t xml:space="preserve"> I</w:t>
      </w:r>
      <w:r w:rsidR="00D67184">
        <w:rPr>
          <w:rFonts w:ascii="Arial" w:hAnsi="Arial" w:cs="Arial"/>
          <w:b/>
          <w:bCs/>
          <w:sz w:val="22"/>
          <w:szCs w:val="22"/>
          <w:u w:val="single"/>
        </w:rPr>
        <w:t>nhaler</w:t>
      </w:r>
      <w:r w:rsidRPr="00D9543F">
        <w:rPr>
          <w:rFonts w:ascii="Arial" w:hAnsi="Arial" w:cs="Arial"/>
          <w:b/>
          <w:bCs/>
          <w:sz w:val="22"/>
          <w:szCs w:val="22"/>
          <w:u w:val="single"/>
        </w:rPr>
        <w:t xml:space="preserve"> to </w:t>
      </w:r>
      <w:proofErr w:type="spellStart"/>
      <w:r w:rsidRPr="00D9543F">
        <w:rPr>
          <w:rFonts w:ascii="Arial" w:hAnsi="Arial" w:cs="Arial"/>
          <w:b/>
          <w:bCs/>
          <w:sz w:val="22"/>
          <w:szCs w:val="22"/>
          <w:u w:val="single"/>
        </w:rPr>
        <w:t>Luforbec</w:t>
      </w:r>
      <w:proofErr w:type="spellEnd"/>
      <w:r w:rsidR="00A23833">
        <w:rPr>
          <w:rFonts w:ascii="Arial" w:hAnsi="Arial" w:cs="Arial"/>
          <w:b/>
          <w:bCs/>
          <w:sz w:val="22"/>
          <w:szCs w:val="22"/>
          <w:u w:val="single"/>
        </w:rPr>
        <w:t>/</w:t>
      </w:r>
      <w:proofErr w:type="spellStart"/>
      <w:r w:rsidR="00A23833">
        <w:rPr>
          <w:rFonts w:ascii="Arial" w:hAnsi="Arial" w:cs="Arial"/>
          <w:b/>
          <w:bCs/>
          <w:sz w:val="22"/>
          <w:szCs w:val="22"/>
          <w:u w:val="single"/>
        </w:rPr>
        <w:t>Bibecfo</w:t>
      </w:r>
      <w:proofErr w:type="spellEnd"/>
      <w:r w:rsidRPr="00D9543F">
        <w:rPr>
          <w:rFonts w:ascii="Arial" w:hAnsi="Arial" w:cs="Arial"/>
          <w:b/>
          <w:bCs/>
          <w:sz w:val="22"/>
          <w:szCs w:val="22"/>
          <w:u w:val="single"/>
        </w:rPr>
        <w:t xml:space="preserve"> </w:t>
      </w:r>
      <w:r w:rsidR="00D67184">
        <w:rPr>
          <w:rFonts w:ascii="Arial" w:hAnsi="Arial" w:cs="Arial"/>
          <w:b/>
          <w:bCs/>
          <w:sz w:val="22"/>
          <w:szCs w:val="22"/>
          <w:u w:val="single"/>
        </w:rPr>
        <w:t>Inhaler</w:t>
      </w:r>
      <w:r w:rsidRPr="00D9543F">
        <w:rPr>
          <w:rFonts w:ascii="Arial" w:hAnsi="Arial" w:cs="Arial"/>
          <w:b/>
          <w:bCs/>
          <w:sz w:val="22"/>
          <w:szCs w:val="22"/>
          <w:u w:val="single"/>
        </w:rPr>
        <w:t xml:space="preserve"> </w:t>
      </w:r>
    </w:p>
    <w:bookmarkEnd w:id="0"/>
    <w:p w14:paraId="76A837D7" w14:textId="3DD46AA8" w:rsidR="00DF337D" w:rsidRDefault="00DF337D" w:rsidP="00E0659B">
      <w:pPr>
        <w:jc w:val="center"/>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D06212" w14:paraId="72FF05A1" w14:textId="77777777" w:rsidTr="00D06212">
        <w:tc>
          <w:tcPr>
            <w:tcW w:w="9016" w:type="dxa"/>
          </w:tcPr>
          <w:p w14:paraId="509B0393" w14:textId="41877C44" w:rsidR="00D06212" w:rsidRDefault="00D06212" w:rsidP="00DF337D">
            <w:pPr>
              <w:rPr>
                <w:rFonts w:ascii="Arial" w:hAnsi="Arial" w:cs="Arial"/>
                <w:b/>
                <w:bCs/>
                <w:sz w:val="22"/>
                <w:szCs w:val="22"/>
                <w:u w:val="single"/>
              </w:rPr>
            </w:pPr>
            <w:r>
              <w:rPr>
                <w:rFonts w:ascii="Arial" w:hAnsi="Arial" w:cs="Arial"/>
                <w:b/>
                <w:bCs/>
                <w:sz w:val="22"/>
                <w:szCs w:val="22"/>
                <w:u w:val="single"/>
              </w:rPr>
              <w:t>Background</w:t>
            </w:r>
          </w:p>
          <w:p w14:paraId="05B7157F" w14:textId="5BC065FA" w:rsidR="00D06212" w:rsidRDefault="00D06212" w:rsidP="00DF337D">
            <w:pPr>
              <w:rPr>
                <w:rFonts w:ascii="Arial" w:hAnsi="Arial" w:cs="Arial"/>
                <w:b/>
                <w:bCs/>
                <w:sz w:val="22"/>
                <w:szCs w:val="22"/>
                <w:u w:val="single"/>
              </w:rPr>
            </w:pPr>
          </w:p>
          <w:p w14:paraId="0F31B08B" w14:textId="498D1ABE" w:rsidR="00D06212" w:rsidRPr="00F26A50" w:rsidRDefault="00D06212" w:rsidP="00D06212">
            <w:pPr>
              <w:pStyle w:val="ListParagraph"/>
              <w:numPr>
                <w:ilvl w:val="0"/>
                <w:numId w:val="5"/>
              </w:numPr>
              <w:rPr>
                <w:rFonts w:ascii="Arial" w:hAnsi="Arial" w:cs="Arial"/>
                <w:color w:val="000000" w:themeColor="text1"/>
                <w:sz w:val="22"/>
                <w:szCs w:val="22"/>
              </w:rPr>
            </w:pPr>
            <w:proofErr w:type="spellStart"/>
            <w:r w:rsidRPr="00F26A50">
              <w:rPr>
                <w:rFonts w:ascii="Arial" w:hAnsi="Arial" w:cs="Arial"/>
                <w:color w:val="000000" w:themeColor="text1"/>
                <w:sz w:val="22"/>
                <w:szCs w:val="22"/>
              </w:rPr>
              <w:t>Luforbec</w:t>
            </w:r>
            <w:proofErr w:type="spellEnd"/>
            <w:r w:rsidR="008D6496" w:rsidRPr="00F26A50">
              <w:rPr>
                <w:rFonts w:ascii="Arial" w:hAnsi="Arial" w:cs="Arial"/>
                <w:color w:val="000000" w:themeColor="text1"/>
                <w:sz w:val="22"/>
                <w:szCs w:val="22"/>
              </w:rPr>
              <w:t xml:space="preserve"> Metered Dose Inhaler</w:t>
            </w:r>
            <w:r w:rsidRPr="00F26A50">
              <w:rPr>
                <w:rFonts w:ascii="Arial" w:hAnsi="Arial" w:cs="Arial"/>
                <w:color w:val="000000" w:themeColor="text1"/>
                <w:sz w:val="22"/>
                <w:szCs w:val="22"/>
              </w:rPr>
              <w:t xml:space="preserve"> </w:t>
            </w:r>
            <w:r w:rsidR="008D6496" w:rsidRPr="00F26A50">
              <w:rPr>
                <w:rFonts w:ascii="Arial" w:hAnsi="Arial" w:cs="Arial"/>
                <w:color w:val="000000" w:themeColor="text1"/>
                <w:sz w:val="22"/>
                <w:szCs w:val="22"/>
              </w:rPr>
              <w:t>(</w:t>
            </w:r>
            <w:r w:rsidRPr="00F26A50">
              <w:rPr>
                <w:rFonts w:ascii="Arial" w:hAnsi="Arial" w:cs="Arial"/>
                <w:color w:val="000000" w:themeColor="text1"/>
                <w:sz w:val="22"/>
                <w:szCs w:val="22"/>
              </w:rPr>
              <w:t>MDI</w:t>
            </w:r>
            <w:r w:rsidR="008D6496" w:rsidRPr="00F26A50">
              <w:rPr>
                <w:rFonts w:ascii="Arial" w:hAnsi="Arial" w:cs="Arial"/>
                <w:color w:val="000000" w:themeColor="text1"/>
                <w:sz w:val="22"/>
                <w:szCs w:val="22"/>
              </w:rPr>
              <w:t>)</w:t>
            </w:r>
            <w:r w:rsidRPr="00F26A50">
              <w:rPr>
                <w:rFonts w:ascii="Arial" w:hAnsi="Arial" w:cs="Arial"/>
                <w:color w:val="000000" w:themeColor="text1"/>
                <w:sz w:val="22"/>
                <w:szCs w:val="22"/>
              </w:rPr>
              <w:t xml:space="preserve"> contains the same active ingredients (</w:t>
            </w:r>
            <w:proofErr w:type="spellStart"/>
            <w:r w:rsidRPr="00F26A50">
              <w:rPr>
                <w:rFonts w:ascii="Arial" w:hAnsi="Arial" w:cs="Arial"/>
                <w:color w:val="000000" w:themeColor="text1"/>
                <w:sz w:val="22"/>
                <w:szCs w:val="22"/>
              </w:rPr>
              <w:t>beclometasone</w:t>
            </w:r>
            <w:proofErr w:type="spellEnd"/>
            <w:r w:rsidRPr="00F26A50">
              <w:rPr>
                <w:rFonts w:ascii="Arial" w:hAnsi="Arial" w:cs="Arial"/>
                <w:color w:val="000000" w:themeColor="text1"/>
                <w:sz w:val="22"/>
                <w:szCs w:val="22"/>
              </w:rPr>
              <w:t>/formoterol)</w:t>
            </w:r>
            <w:r w:rsidR="00D9543F" w:rsidRPr="00F26A50">
              <w:rPr>
                <w:rFonts w:ascii="Arial" w:hAnsi="Arial" w:cs="Arial"/>
                <w:color w:val="000000" w:themeColor="text1"/>
                <w:sz w:val="22"/>
                <w:szCs w:val="22"/>
              </w:rPr>
              <w:t xml:space="preserve"> and propellant</w:t>
            </w:r>
            <w:r w:rsidRPr="00F26A50">
              <w:rPr>
                <w:rFonts w:ascii="Arial" w:hAnsi="Arial" w:cs="Arial"/>
                <w:color w:val="000000" w:themeColor="text1"/>
                <w:sz w:val="22"/>
                <w:szCs w:val="22"/>
              </w:rPr>
              <w:t xml:space="preserve"> as </w:t>
            </w:r>
            <w:proofErr w:type="spellStart"/>
            <w:r w:rsidRPr="00F26A50">
              <w:rPr>
                <w:rFonts w:ascii="Arial" w:hAnsi="Arial" w:cs="Arial"/>
                <w:color w:val="000000" w:themeColor="text1"/>
                <w:sz w:val="22"/>
                <w:szCs w:val="22"/>
              </w:rPr>
              <w:t>Fostair</w:t>
            </w:r>
            <w:proofErr w:type="spellEnd"/>
            <w:r w:rsidRPr="00F26A50">
              <w:rPr>
                <w:rFonts w:ascii="Arial" w:hAnsi="Arial" w:cs="Arial"/>
                <w:color w:val="000000" w:themeColor="text1"/>
                <w:sz w:val="22"/>
                <w:szCs w:val="22"/>
              </w:rPr>
              <w:t xml:space="preserve"> MDI. </w:t>
            </w:r>
          </w:p>
          <w:p w14:paraId="50EAFF64" w14:textId="72A714AC" w:rsidR="00A23833" w:rsidRPr="00F26A50" w:rsidRDefault="00A23833" w:rsidP="00D06212">
            <w:pPr>
              <w:pStyle w:val="ListParagraph"/>
              <w:numPr>
                <w:ilvl w:val="0"/>
                <w:numId w:val="5"/>
              </w:numPr>
              <w:rPr>
                <w:rFonts w:ascii="Arial" w:hAnsi="Arial" w:cs="Arial"/>
                <w:b/>
                <w:bCs/>
                <w:color w:val="000000" w:themeColor="text1"/>
                <w:sz w:val="22"/>
                <w:szCs w:val="22"/>
                <w:u w:val="single"/>
              </w:rPr>
            </w:pPr>
            <w:proofErr w:type="spellStart"/>
            <w:r w:rsidRPr="00F26A50">
              <w:rPr>
                <w:rFonts w:ascii="Arial" w:hAnsi="Arial" w:cs="Arial"/>
                <w:color w:val="000000" w:themeColor="text1"/>
                <w:sz w:val="22"/>
                <w:szCs w:val="22"/>
              </w:rPr>
              <w:t>Bibecfo</w:t>
            </w:r>
            <w:proofErr w:type="spellEnd"/>
            <w:r w:rsidRPr="00F26A50">
              <w:rPr>
                <w:rFonts w:ascii="Arial" w:hAnsi="Arial" w:cs="Arial"/>
                <w:color w:val="000000" w:themeColor="text1"/>
                <w:sz w:val="22"/>
                <w:szCs w:val="22"/>
              </w:rPr>
              <w:t xml:space="preserve"> Metered Dose Inhaler (MDI) contains the same active ingredients (beclomethasone/</w:t>
            </w:r>
            <w:proofErr w:type="spellStart"/>
            <w:r w:rsidRPr="00F26A50">
              <w:rPr>
                <w:rFonts w:ascii="Arial" w:hAnsi="Arial" w:cs="Arial"/>
                <w:color w:val="000000" w:themeColor="text1"/>
                <w:sz w:val="22"/>
                <w:szCs w:val="22"/>
              </w:rPr>
              <w:t>formoteol</w:t>
            </w:r>
            <w:proofErr w:type="spellEnd"/>
            <w:r w:rsidRPr="00F26A50">
              <w:rPr>
                <w:rFonts w:ascii="Arial" w:hAnsi="Arial" w:cs="Arial"/>
                <w:color w:val="000000" w:themeColor="text1"/>
                <w:sz w:val="22"/>
                <w:szCs w:val="22"/>
              </w:rPr>
              <w:t xml:space="preserve">), propellant and excipients as </w:t>
            </w:r>
            <w:proofErr w:type="spellStart"/>
            <w:r w:rsidRPr="00F26A50">
              <w:rPr>
                <w:rFonts w:ascii="Arial" w:hAnsi="Arial" w:cs="Arial"/>
                <w:color w:val="000000" w:themeColor="text1"/>
                <w:sz w:val="22"/>
                <w:szCs w:val="22"/>
              </w:rPr>
              <w:t>Fostair</w:t>
            </w:r>
            <w:proofErr w:type="spellEnd"/>
            <w:r w:rsidRPr="00F26A50">
              <w:rPr>
                <w:rFonts w:ascii="Arial" w:hAnsi="Arial" w:cs="Arial"/>
                <w:color w:val="000000" w:themeColor="text1"/>
                <w:sz w:val="22"/>
                <w:szCs w:val="22"/>
              </w:rPr>
              <w:t xml:space="preserve"> MDI.</w:t>
            </w:r>
          </w:p>
          <w:p w14:paraId="003B65AA" w14:textId="5F2B4D18" w:rsidR="00A23833" w:rsidRPr="00F26A50" w:rsidRDefault="00A23833" w:rsidP="00D06212">
            <w:pPr>
              <w:pStyle w:val="ListParagraph"/>
              <w:numPr>
                <w:ilvl w:val="0"/>
                <w:numId w:val="5"/>
              </w:numPr>
              <w:rPr>
                <w:rFonts w:ascii="Arial" w:hAnsi="Arial" w:cs="Arial"/>
                <w:b/>
                <w:bCs/>
                <w:color w:val="000000" w:themeColor="text1"/>
                <w:sz w:val="22"/>
                <w:szCs w:val="22"/>
                <w:u w:val="single"/>
              </w:rPr>
            </w:pPr>
            <w:proofErr w:type="spellStart"/>
            <w:r w:rsidRPr="00F26A50">
              <w:rPr>
                <w:rFonts w:ascii="Arial" w:hAnsi="Arial" w:cs="Arial"/>
                <w:color w:val="000000" w:themeColor="text1"/>
                <w:sz w:val="22"/>
                <w:szCs w:val="22"/>
              </w:rPr>
              <w:t>Bibecfo</w:t>
            </w:r>
            <w:proofErr w:type="spellEnd"/>
            <w:r w:rsidRPr="00F26A50">
              <w:rPr>
                <w:rFonts w:ascii="Arial" w:hAnsi="Arial" w:cs="Arial"/>
                <w:color w:val="000000" w:themeColor="text1"/>
                <w:sz w:val="22"/>
                <w:szCs w:val="22"/>
              </w:rPr>
              <w:t xml:space="preserve"> MDI is a suitable alternative for patients who do not tolerate </w:t>
            </w:r>
            <w:proofErr w:type="spellStart"/>
            <w:r w:rsidRPr="00F26A50">
              <w:rPr>
                <w:rFonts w:ascii="Arial" w:hAnsi="Arial" w:cs="Arial"/>
                <w:color w:val="000000" w:themeColor="text1"/>
                <w:sz w:val="22"/>
                <w:szCs w:val="22"/>
              </w:rPr>
              <w:t>Luforbec</w:t>
            </w:r>
            <w:proofErr w:type="spellEnd"/>
            <w:r w:rsidRPr="00F26A50">
              <w:rPr>
                <w:rFonts w:ascii="Arial" w:hAnsi="Arial" w:cs="Arial"/>
                <w:color w:val="000000" w:themeColor="text1"/>
                <w:sz w:val="22"/>
                <w:szCs w:val="22"/>
              </w:rPr>
              <w:t xml:space="preserve"> MDI.</w:t>
            </w:r>
          </w:p>
          <w:p w14:paraId="0ECC3AEC" w14:textId="77777777" w:rsidR="00BD3060" w:rsidRPr="00F26A50" w:rsidRDefault="00BD3060" w:rsidP="00BD3060">
            <w:pPr>
              <w:pStyle w:val="ListParagraph"/>
              <w:numPr>
                <w:ilvl w:val="0"/>
                <w:numId w:val="5"/>
              </w:numPr>
              <w:rPr>
                <w:rFonts w:ascii="Arial" w:hAnsi="Arial" w:cs="Arial"/>
                <w:color w:val="000000" w:themeColor="text1"/>
                <w:sz w:val="22"/>
                <w:szCs w:val="22"/>
              </w:rPr>
            </w:pPr>
            <w:proofErr w:type="spellStart"/>
            <w:r w:rsidRPr="00F26A50">
              <w:rPr>
                <w:rFonts w:ascii="Arial" w:hAnsi="Arial" w:cs="Arial"/>
                <w:color w:val="000000" w:themeColor="text1"/>
                <w:sz w:val="22"/>
                <w:szCs w:val="22"/>
              </w:rPr>
              <w:t>Luforbec</w:t>
            </w:r>
            <w:proofErr w:type="spellEnd"/>
            <w:r w:rsidRPr="00F26A50">
              <w:rPr>
                <w:rFonts w:ascii="Arial" w:hAnsi="Arial" w:cs="Arial"/>
                <w:color w:val="000000" w:themeColor="text1"/>
                <w:sz w:val="22"/>
                <w:szCs w:val="22"/>
              </w:rPr>
              <w:t xml:space="preserve"> MDI and </w:t>
            </w:r>
            <w:proofErr w:type="spellStart"/>
            <w:r w:rsidRPr="00F26A50">
              <w:rPr>
                <w:rFonts w:ascii="Arial" w:hAnsi="Arial" w:cs="Arial"/>
                <w:color w:val="000000" w:themeColor="text1"/>
                <w:sz w:val="22"/>
                <w:szCs w:val="22"/>
              </w:rPr>
              <w:t>Bibecfo</w:t>
            </w:r>
            <w:proofErr w:type="spellEnd"/>
            <w:r w:rsidRPr="00F26A50">
              <w:rPr>
                <w:rFonts w:ascii="Arial" w:hAnsi="Arial" w:cs="Arial"/>
                <w:color w:val="000000" w:themeColor="text1"/>
                <w:sz w:val="22"/>
                <w:szCs w:val="22"/>
              </w:rPr>
              <w:t xml:space="preserve"> MDI are available in two strengths; 100/6 and 200/6 and has the same licensing agreements as </w:t>
            </w:r>
            <w:proofErr w:type="spellStart"/>
            <w:r w:rsidRPr="00F26A50">
              <w:rPr>
                <w:rFonts w:ascii="Arial" w:hAnsi="Arial" w:cs="Arial"/>
                <w:color w:val="000000" w:themeColor="text1"/>
                <w:sz w:val="22"/>
                <w:szCs w:val="22"/>
              </w:rPr>
              <w:t>Fostair</w:t>
            </w:r>
            <w:proofErr w:type="spellEnd"/>
            <w:r w:rsidRPr="00F26A50">
              <w:rPr>
                <w:rFonts w:ascii="Arial" w:hAnsi="Arial" w:cs="Arial"/>
                <w:color w:val="000000" w:themeColor="text1"/>
                <w:sz w:val="22"/>
                <w:szCs w:val="22"/>
              </w:rPr>
              <w:t xml:space="preserve"> MDI. </w:t>
            </w:r>
          </w:p>
          <w:p w14:paraId="6D8DEE32" w14:textId="77777777" w:rsidR="00BD3060" w:rsidRPr="00F26A50" w:rsidRDefault="00BD3060" w:rsidP="00BD3060">
            <w:pPr>
              <w:pStyle w:val="ListParagraph"/>
              <w:numPr>
                <w:ilvl w:val="0"/>
                <w:numId w:val="5"/>
              </w:numPr>
              <w:rPr>
                <w:rFonts w:ascii="Arial" w:hAnsi="Arial" w:cs="Arial"/>
                <w:b/>
                <w:bCs/>
                <w:color w:val="000000" w:themeColor="text1"/>
                <w:sz w:val="22"/>
                <w:szCs w:val="22"/>
                <w:u w:val="single"/>
              </w:rPr>
            </w:pPr>
            <w:proofErr w:type="spellStart"/>
            <w:r w:rsidRPr="00F26A50">
              <w:rPr>
                <w:rFonts w:ascii="Arial" w:hAnsi="Arial" w:cs="Arial"/>
                <w:color w:val="000000" w:themeColor="text1"/>
                <w:sz w:val="22"/>
                <w:szCs w:val="22"/>
              </w:rPr>
              <w:t>Aerochamber</w:t>
            </w:r>
            <w:proofErr w:type="spellEnd"/>
            <w:r w:rsidRPr="00F26A50">
              <w:rPr>
                <w:rFonts w:ascii="Arial" w:hAnsi="Arial" w:cs="Arial"/>
                <w:color w:val="000000" w:themeColor="text1"/>
                <w:sz w:val="22"/>
                <w:szCs w:val="22"/>
              </w:rPr>
              <w:t xml:space="preserve"> Plus is the licensed compatible spacer device for </w:t>
            </w:r>
            <w:proofErr w:type="spellStart"/>
            <w:r w:rsidRPr="00F26A50">
              <w:rPr>
                <w:rFonts w:ascii="Arial" w:hAnsi="Arial" w:cs="Arial"/>
                <w:color w:val="000000" w:themeColor="text1"/>
                <w:sz w:val="22"/>
                <w:szCs w:val="22"/>
              </w:rPr>
              <w:t>Luforbec</w:t>
            </w:r>
            <w:proofErr w:type="spellEnd"/>
            <w:r w:rsidRPr="00F26A50">
              <w:rPr>
                <w:rFonts w:ascii="Arial" w:hAnsi="Arial" w:cs="Arial"/>
                <w:color w:val="000000" w:themeColor="text1"/>
                <w:sz w:val="22"/>
                <w:szCs w:val="22"/>
              </w:rPr>
              <w:t xml:space="preserve"> MDI.</w:t>
            </w:r>
          </w:p>
          <w:p w14:paraId="644981A2" w14:textId="5735A482" w:rsidR="00D06212" w:rsidRPr="00F26A50" w:rsidRDefault="00F26A50" w:rsidP="00F26A50">
            <w:pPr>
              <w:pStyle w:val="ListParagraph"/>
              <w:numPr>
                <w:ilvl w:val="0"/>
                <w:numId w:val="5"/>
              </w:numPr>
              <w:rPr>
                <w:rFonts w:ascii="Arial" w:hAnsi="Arial" w:cs="Arial"/>
                <w:b/>
                <w:bCs/>
                <w:color w:val="000000" w:themeColor="text1"/>
                <w:sz w:val="22"/>
                <w:szCs w:val="22"/>
                <w:u w:val="single"/>
              </w:rPr>
            </w:pPr>
            <w:proofErr w:type="spellStart"/>
            <w:r w:rsidRPr="00F26A50">
              <w:rPr>
                <w:rFonts w:ascii="Arial" w:hAnsi="Arial" w:cs="Arial"/>
                <w:color w:val="000000" w:themeColor="text1"/>
                <w:sz w:val="22"/>
                <w:szCs w:val="22"/>
                <w:shd w:val="clear" w:color="auto" w:fill="FFFFFF"/>
              </w:rPr>
              <w:t>AeroChamber</w:t>
            </w:r>
            <w:proofErr w:type="spellEnd"/>
            <w:r w:rsidRPr="00F26A50">
              <w:rPr>
                <w:rFonts w:ascii="Arial" w:hAnsi="Arial" w:cs="Arial"/>
                <w:color w:val="000000" w:themeColor="text1"/>
                <w:sz w:val="22"/>
                <w:szCs w:val="22"/>
                <w:shd w:val="clear" w:color="auto" w:fill="FFFFFF"/>
              </w:rPr>
              <w:t xml:space="preserve"> Plus</w:t>
            </w:r>
            <w:r w:rsidRPr="00F26A50">
              <w:rPr>
                <w:rFonts w:ascii="Verdana" w:hAnsi="Verdana"/>
                <w:b/>
                <w:bCs/>
                <w:color w:val="000000" w:themeColor="text1"/>
                <w:shd w:val="clear" w:color="auto" w:fill="FFFFFF"/>
                <w:vertAlign w:val="superscript"/>
              </w:rPr>
              <w:t xml:space="preserve"> </w:t>
            </w:r>
            <w:r w:rsidRPr="00F26A50">
              <w:rPr>
                <w:rFonts w:ascii="Arial" w:hAnsi="Arial" w:cs="Arial"/>
                <w:color w:val="000000" w:themeColor="text1"/>
                <w:sz w:val="22"/>
                <w:szCs w:val="22"/>
              </w:rPr>
              <w:t xml:space="preserve">is the formulary recommended compatible spacer for </w:t>
            </w:r>
            <w:proofErr w:type="spellStart"/>
            <w:r w:rsidRPr="00F26A50">
              <w:rPr>
                <w:rFonts w:ascii="Arial" w:hAnsi="Arial" w:cs="Arial"/>
                <w:color w:val="000000" w:themeColor="text1"/>
                <w:sz w:val="22"/>
                <w:szCs w:val="22"/>
              </w:rPr>
              <w:t>Bibecfo</w:t>
            </w:r>
            <w:proofErr w:type="spellEnd"/>
            <w:r w:rsidRPr="00F26A50">
              <w:rPr>
                <w:rFonts w:ascii="Arial" w:hAnsi="Arial" w:cs="Arial"/>
                <w:color w:val="000000" w:themeColor="text1"/>
                <w:sz w:val="22"/>
                <w:szCs w:val="22"/>
              </w:rPr>
              <w:t xml:space="preserve">. Please visit the </w:t>
            </w:r>
            <w:hyperlink r:id="rId7" w:history="1">
              <w:proofErr w:type="spellStart"/>
              <w:r w:rsidRPr="00F26A50">
                <w:rPr>
                  <w:rStyle w:val="Hyperlink"/>
                  <w:rFonts w:ascii="Arial" w:hAnsi="Arial" w:cs="Arial"/>
                  <w:color w:val="000000" w:themeColor="text1"/>
                  <w:sz w:val="22"/>
                  <w:szCs w:val="22"/>
                </w:rPr>
                <w:t>RightBreathe</w:t>
              </w:r>
              <w:proofErr w:type="spellEnd"/>
            </w:hyperlink>
            <w:r w:rsidRPr="00F26A50">
              <w:rPr>
                <w:rFonts w:ascii="Arial" w:hAnsi="Arial" w:cs="Arial"/>
                <w:color w:val="000000" w:themeColor="text1"/>
                <w:sz w:val="22"/>
                <w:szCs w:val="22"/>
              </w:rPr>
              <w:t xml:space="preserve"> website for other compatible devices.</w:t>
            </w:r>
          </w:p>
        </w:tc>
      </w:tr>
    </w:tbl>
    <w:p w14:paraId="7FF44336" w14:textId="77777777" w:rsidR="00D06212" w:rsidRDefault="00D06212" w:rsidP="00DF337D">
      <w:pPr>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D06212" w14:paraId="43E11524" w14:textId="77777777" w:rsidTr="00D06212">
        <w:tc>
          <w:tcPr>
            <w:tcW w:w="9016" w:type="dxa"/>
          </w:tcPr>
          <w:p w14:paraId="661A04D7" w14:textId="115D81AF" w:rsidR="00D06212" w:rsidRDefault="00D06212" w:rsidP="00D06212">
            <w:pPr>
              <w:rPr>
                <w:rFonts w:ascii="Arial" w:hAnsi="Arial" w:cs="Arial"/>
                <w:b/>
                <w:bCs/>
                <w:sz w:val="22"/>
                <w:szCs w:val="22"/>
                <w:u w:val="single"/>
              </w:rPr>
            </w:pPr>
            <w:r>
              <w:rPr>
                <w:rFonts w:ascii="Arial" w:hAnsi="Arial" w:cs="Arial"/>
                <w:b/>
                <w:bCs/>
                <w:sz w:val="22"/>
                <w:szCs w:val="22"/>
                <w:u w:val="single"/>
              </w:rPr>
              <w:t xml:space="preserve">Change </w:t>
            </w:r>
            <w:r w:rsidR="00D4094B">
              <w:rPr>
                <w:rFonts w:ascii="Arial" w:hAnsi="Arial" w:cs="Arial"/>
                <w:b/>
                <w:bCs/>
                <w:sz w:val="22"/>
                <w:szCs w:val="22"/>
                <w:u w:val="single"/>
              </w:rPr>
              <w:t>P</w:t>
            </w:r>
            <w:r>
              <w:rPr>
                <w:rFonts w:ascii="Arial" w:hAnsi="Arial" w:cs="Arial"/>
                <w:b/>
                <w:bCs/>
                <w:sz w:val="22"/>
                <w:szCs w:val="22"/>
                <w:u w:val="single"/>
              </w:rPr>
              <w:t>rocess</w:t>
            </w:r>
          </w:p>
          <w:p w14:paraId="27197150" w14:textId="77777777" w:rsidR="00D06212" w:rsidRDefault="00D06212" w:rsidP="00D06212">
            <w:pPr>
              <w:rPr>
                <w:rFonts w:ascii="Arial" w:hAnsi="Arial" w:cs="Arial"/>
                <w:b/>
                <w:bCs/>
                <w:sz w:val="22"/>
                <w:szCs w:val="22"/>
                <w:u w:val="single"/>
              </w:rPr>
            </w:pPr>
          </w:p>
          <w:p w14:paraId="55C1EF51" w14:textId="77777777" w:rsidR="00D06212" w:rsidRPr="00F26A50" w:rsidRDefault="00D06212" w:rsidP="00D06212">
            <w:pPr>
              <w:pStyle w:val="ListParagraph"/>
              <w:numPr>
                <w:ilvl w:val="0"/>
                <w:numId w:val="5"/>
              </w:numPr>
              <w:rPr>
                <w:rFonts w:ascii="Arial" w:hAnsi="Arial" w:cs="Arial"/>
                <w:color w:val="000000" w:themeColor="text1"/>
                <w:sz w:val="22"/>
                <w:szCs w:val="22"/>
              </w:rPr>
            </w:pPr>
            <w:r w:rsidRPr="00F26A50">
              <w:rPr>
                <w:rFonts w:ascii="Arial" w:hAnsi="Arial" w:cs="Arial"/>
                <w:color w:val="000000" w:themeColor="text1"/>
                <w:sz w:val="22"/>
                <w:szCs w:val="22"/>
              </w:rPr>
              <w:t xml:space="preserve">Practices can use the “Bulk Switch” tool on </w:t>
            </w:r>
            <w:proofErr w:type="spellStart"/>
            <w:r w:rsidRPr="00F26A50">
              <w:rPr>
                <w:rFonts w:ascii="Arial" w:hAnsi="Arial" w:cs="Arial"/>
                <w:color w:val="000000" w:themeColor="text1"/>
                <w:sz w:val="22"/>
                <w:szCs w:val="22"/>
              </w:rPr>
              <w:t>SystmOne</w:t>
            </w:r>
            <w:proofErr w:type="spellEnd"/>
            <w:r w:rsidRPr="00F26A50">
              <w:rPr>
                <w:rFonts w:ascii="Arial" w:hAnsi="Arial" w:cs="Arial"/>
                <w:color w:val="000000" w:themeColor="text1"/>
                <w:sz w:val="22"/>
                <w:szCs w:val="22"/>
              </w:rPr>
              <w:t xml:space="preserve"> to perform this switch however each practice may wish to use their own process to enable the change.</w:t>
            </w:r>
          </w:p>
          <w:p w14:paraId="663B532F" w14:textId="45127172" w:rsidR="00CB4CB6" w:rsidRPr="00F26A50" w:rsidRDefault="00D06212" w:rsidP="00D06212">
            <w:pPr>
              <w:pStyle w:val="ListParagraph"/>
              <w:numPr>
                <w:ilvl w:val="0"/>
                <w:numId w:val="5"/>
              </w:numPr>
              <w:rPr>
                <w:rFonts w:ascii="Arial" w:hAnsi="Arial" w:cs="Arial"/>
                <w:b/>
                <w:bCs/>
                <w:color w:val="000000" w:themeColor="text1"/>
                <w:sz w:val="22"/>
                <w:szCs w:val="22"/>
                <w:u w:val="single"/>
              </w:rPr>
            </w:pPr>
            <w:r w:rsidRPr="00F26A50">
              <w:rPr>
                <w:rFonts w:ascii="Arial" w:hAnsi="Arial" w:cs="Arial"/>
                <w:color w:val="000000" w:themeColor="text1"/>
                <w:sz w:val="22"/>
                <w:szCs w:val="22"/>
              </w:rPr>
              <w:t xml:space="preserve">Please find below </w:t>
            </w:r>
            <w:r w:rsidR="00D60FC7" w:rsidRPr="00F26A50">
              <w:rPr>
                <w:rFonts w:ascii="Arial" w:hAnsi="Arial" w:cs="Arial"/>
                <w:color w:val="000000" w:themeColor="text1"/>
                <w:sz w:val="22"/>
                <w:szCs w:val="22"/>
              </w:rPr>
              <w:t>guidance on</w:t>
            </w:r>
            <w:r w:rsidRPr="00F26A50">
              <w:rPr>
                <w:rFonts w:ascii="Arial" w:hAnsi="Arial" w:cs="Arial"/>
                <w:color w:val="000000" w:themeColor="text1"/>
                <w:sz w:val="22"/>
                <w:szCs w:val="22"/>
              </w:rPr>
              <w:t xml:space="preserve"> a bulk switch from </w:t>
            </w:r>
            <w:proofErr w:type="spellStart"/>
            <w:r w:rsidRPr="00F26A50">
              <w:rPr>
                <w:rFonts w:ascii="Arial" w:hAnsi="Arial" w:cs="Arial"/>
                <w:color w:val="000000" w:themeColor="text1"/>
                <w:sz w:val="22"/>
                <w:szCs w:val="22"/>
              </w:rPr>
              <w:t>Fostair</w:t>
            </w:r>
            <w:proofErr w:type="spellEnd"/>
            <w:r w:rsidRPr="00F26A50">
              <w:rPr>
                <w:rFonts w:ascii="Arial" w:hAnsi="Arial" w:cs="Arial"/>
                <w:color w:val="000000" w:themeColor="text1"/>
                <w:sz w:val="22"/>
                <w:szCs w:val="22"/>
              </w:rPr>
              <w:t xml:space="preserve"> MDI to </w:t>
            </w:r>
            <w:proofErr w:type="spellStart"/>
            <w:r w:rsidRPr="00F26A50">
              <w:rPr>
                <w:rFonts w:ascii="Arial" w:hAnsi="Arial" w:cs="Arial"/>
                <w:color w:val="000000" w:themeColor="text1"/>
                <w:sz w:val="22"/>
                <w:szCs w:val="22"/>
              </w:rPr>
              <w:t>Luforbec</w:t>
            </w:r>
            <w:proofErr w:type="spellEnd"/>
            <w:r w:rsidR="00BD3060" w:rsidRPr="00F26A50">
              <w:rPr>
                <w:rFonts w:ascii="Arial" w:hAnsi="Arial" w:cs="Arial"/>
                <w:color w:val="000000" w:themeColor="text1"/>
                <w:sz w:val="22"/>
                <w:szCs w:val="22"/>
              </w:rPr>
              <w:t>/</w:t>
            </w:r>
            <w:proofErr w:type="spellStart"/>
            <w:r w:rsidR="00BD3060" w:rsidRPr="00F26A50">
              <w:rPr>
                <w:rFonts w:ascii="Arial" w:hAnsi="Arial" w:cs="Arial"/>
                <w:color w:val="000000" w:themeColor="text1"/>
                <w:sz w:val="22"/>
                <w:szCs w:val="22"/>
              </w:rPr>
              <w:t>Bibecfo</w:t>
            </w:r>
            <w:proofErr w:type="spellEnd"/>
            <w:r w:rsidRPr="00F26A50">
              <w:rPr>
                <w:rFonts w:ascii="Arial" w:hAnsi="Arial" w:cs="Arial"/>
                <w:color w:val="000000" w:themeColor="text1"/>
                <w:sz w:val="22"/>
                <w:szCs w:val="22"/>
              </w:rPr>
              <w:t xml:space="preserve"> MDI ensuring that separate bulk switches are performed for each strength (100/6 or 200/6).</w:t>
            </w:r>
          </w:p>
          <w:p w14:paraId="1AD3A156" w14:textId="0F389FB9" w:rsidR="00D06212" w:rsidRPr="00D06212" w:rsidRDefault="00D06212" w:rsidP="00D06212">
            <w:pPr>
              <w:rPr>
                <w:rFonts w:ascii="Arial" w:hAnsi="Arial" w:cs="Arial"/>
                <w:b/>
                <w:bCs/>
                <w:sz w:val="22"/>
                <w:szCs w:val="22"/>
                <w:u w:val="single"/>
              </w:rPr>
            </w:pPr>
          </w:p>
        </w:tc>
      </w:tr>
    </w:tbl>
    <w:p w14:paraId="1C27C265" w14:textId="31845FD5" w:rsidR="00921A4A" w:rsidRDefault="00921A4A"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D9543F" w14:paraId="0D729C8D" w14:textId="77777777" w:rsidTr="00D9543F">
        <w:tc>
          <w:tcPr>
            <w:tcW w:w="9016" w:type="dxa"/>
          </w:tcPr>
          <w:p w14:paraId="28EC31D2" w14:textId="2B528C03" w:rsidR="00D9543F" w:rsidRDefault="0087610B" w:rsidP="00D06212">
            <w:pPr>
              <w:rPr>
                <w:rFonts w:ascii="Arial" w:hAnsi="Arial" w:cs="Arial"/>
                <w:b/>
                <w:bCs/>
                <w:sz w:val="22"/>
                <w:szCs w:val="22"/>
                <w:u w:val="single"/>
              </w:rPr>
            </w:pPr>
            <w:r>
              <w:rPr>
                <w:rFonts w:ascii="Arial" w:hAnsi="Arial" w:cs="Arial"/>
                <w:b/>
                <w:bCs/>
                <w:sz w:val="22"/>
                <w:szCs w:val="22"/>
                <w:u w:val="single"/>
              </w:rPr>
              <w:t xml:space="preserve">Communication with </w:t>
            </w:r>
            <w:r w:rsidR="00D4094B">
              <w:rPr>
                <w:rFonts w:ascii="Arial" w:hAnsi="Arial" w:cs="Arial"/>
                <w:b/>
                <w:bCs/>
                <w:sz w:val="22"/>
                <w:szCs w:val="22"/>
                <w:u w:val="single"/>
              </w:rPr>
              <w:t>P</w:t>
            </w:r>
            <w:r>
              <w:rPr>
                <w:rFonts w:ascii="Arial" w:hAnsi="Arial" w:cs="Arial"/>
                <w:b/>
                <w:bCs/>
                <w:sz w:val="22"/>
                <w:szCs w:val="22"/>
                <w:u w:val="single"/>
              </w:rPr>
              <w:t>atients</w:t>
            </w:r>
          </w:p>
          <w:p w14:paraId="4AA64860" w14:textId="77777777" w:rsidR="0087610B" w:rsidRDefault="0087610B" w:rsidP="00D06212">
            <w:pPr>
              <w:rPr>
                <w:rFonts w:ascii="Arial" w:hAnsi="Arial" w:cs="Arial"/>
                <w:b/>
                <w:bCs/>
                <w:sz w:val="22"/>
                <w:szCs w:val="22"/>
                <w:u w:val="single"/>
              </w:rPr>
            </w:pPr>
          </w:p>
          <w:p w14:paraId="3A02DC02" w14:textId="5BC68596" w:rsidR="0087610B" w:rsidRDefault="00D67184" w:rsidP="0087610B">
            <w:pPr>
              <w:pStyle w:val="ListParagraph"/>
              <w:numPr>
                <w:ilvl w:val="0"/>
                <w:numId w:val="5"/>
              </w:numPr>
              <w:rPr>
                <w:rFonts w:ascii="Arial" w:hAnsi="Arial" w:cs="Arial"/>
                <w:color w:val="0D0D0D" w:themeColor="text1" w:themeTint="F2"/>
                <w:sz w:val="22"/>
                <w:szCs w:val="22"/>
              </w:rPr>
            </w:pPr>
            <w:r>
              <w:rPr>
                <w:rFonts w:ascii="Arial" w:hAnsi="Arial" w:cs="Arial"/>
                <w:color w:val="0D0D0D" w:themeColor="text1" w:themeTint="F2"/>
                <w:sz w:val="22"/>
                <w:szCs w:val="22"/>
              </w:rPr>
              <w:t>Patient notification</w:t>
            </w:r>
            <w:r w:rsidR="00D60FC7">
              <w:rPr>
                <w:rFonts w:ascii="Arial" w:hAnsi="Arial" w:cs="Arial"/>
                <w:color w:val="0D0D0D" w:themeColor="text1" w:themeTint="F2"/>
                <w:sz w:val="22"/>
                <w:szCs w:val="22"/>
              </w:rPr>
              <w:t xml:space="preserve"> of this change </w:t>
            </w:r>
            <w:r>
              <w:rPr>
                <w:rFonts w:ascii="Arial" w:hAnsi="Arial" w:cs="Arial"/>
                <w:color w:val="0D0D0D" w:themeColor="text1" w:themeTint="F2"/>
                <w:sz w:val="22"/>
                <w:szCs w:val="22"/>
              </w:rPr>
              <w:t>will use</w:t>
            </w:r>
            <w:r w:rsidR="00D60FC7">
              <w:rPr>
                <w:rFonts w:ascii="Arial" w:hAnsi="Arial" w:cs="Arial"/>
                <w:color w:val="0D0D0D" w:themeColor="text1" w:themeTint="F2"/>
                <w:sz w:val="22"/>
                <w:szCs w:val="22"/>
              </w:rPr>
              <w:t xml:space="preserve"> standard practice procedure such as</w:t>
            </w:r>
            <w:r w:rsidR="00496D18">
              <w:rPr>
                <w:rFonts w:ascii="Arial" w:hAnsi="Arial" w:cs="Arial"/>
                <w:color w:val="0D0D0D" w:themeColor="text1" w:themeTint="F2"/>
                <w:sz w:val="22"/>
                <w:szCs w:val="22"/>
              </w:rPr>
              <w:t xml:space="preserve"> </w:t>
            </w:r>
            <w:proofErr w:type="spellStart"/>
            <w:r w:rsidR="00496D18">
              <w:rPr>
                <w:rFonts w:ascii="Arial" w:hAnsi="Arial" w:cs="Arial"/>
                <w:color w:val="0D0D0D" w:themeColor="text1" w:themeTint="F2"/>
                <w:sz w:val="22"/>
                <w:szCs w:val="22"/>
              </w:rPr>
              <w:t>Accurx</w:t>
            </w:r>
            <w:proofErr w:type="spellEnd"/>
            <w:r w:rsidR="00496D18">
              <w:rPr>
                <w:rFonts w:ascii="Arial" w:hAnsi="Arial" w:cs="Arial"/>
                <w:color w:val="0D0D0D" w:themeColor="text1" w:themeTint="F2"/>
                <w:sz w:val="22"/>
                <w:szCs w:val="22"/>
              </w:rPr>
              <w:t xml:space="preserve"> </w:t>
            </w:r>
            <w:r w:rsidR="0087610B" w:rsidRPr="00071D3C">
              <w:rPr>
                <w:rFonts w:ascii="Arial" w:hAnsi="Arial" w:cs="Arial"/>
                <w:color w:val="0D0D0D" w:themeColor="text1" w:themeTint="F2"/>
                <w:sz w:val="22"/>
                <w:szCs w:val="22"/>
              </w:rPr>
              <w:t xml:space="preserve">SMS text or letter. A </w:t>
            </w:r>
            <w:r w:rsidR="00D60FC7">
              <w:rPr>
                <w:rFonts w:ascii="Arial" w:hAnsi="Arial" w:cs="Arial"/>
                <w:color w:val="0D0D0D" w:themeColor="text1" w:themeTint="F2"/>
                <w:sz w:val="22"/>
                <w:szCs w:val="22"/>
              </w:rPr>
              <w:t>p</w:t>
            </w:r>
            <w:r w:rsidR="0087610B" w:rsidRPr="00071D3C">
              <w:rPr>
                <w:rFonts w:ascii="Arial" w:hAnsi="Arial" w:cs="Arial"/>
                <w:color w:val="0D0D0D" w:themeColor="text1" w:themeTint="F2"/>
                <w:sz w:val="22"/>
                <w:szCs w:val="22"/>
              </w:rPr>
              <w:t xml:space="preserve">atient </w:t>
            </w:r>
            <w:r w:rsidR="00D60FC7">
              <w:rPr>
                <w:rFonts w:ascii="Arial" w:hAnsi="Arial" w:cs="Arial"/>
                <w:color w:val="0D0D0D" w:themeColor="text1" w:themeTint="F2"/>
                <w:sz w:val="22"/>
                <w:szCs w:val="22"/>
              </w:rPr>
              <w:t>i</w:t>
            </w:r>
            <w:r w:rsidR="0087610B" w:rsidRPr="00071D3C">
              <w:rPr>
                <w:rFonts w:ascii="Arial" w:hAnsi="Arial" w:cs="Arial"/>
                <w:color w:val="0D0D0D" w:themeColor="text1" w:themeTint="F2"/>
                <w:sz w:val="22"/>
                <w:szCs w:val="22"/>
              </w:rPr>
              <w:t xml:space="preserve">nformation </w:t>
            </w:r>
            <w:r w:rsidR="00D60FC7">
              <w:rPr>
                <w:rFonts w:ascii="Arial" w:hAnsi="Arial" w:cs="Arial"/>
                <w:color w:val="0D0D0D" w:themeColor="text1" w:themeTint="F2"/>
                <w:sz w:val="22"/>
                <w:szCs w:val="22"/>
              </w:rPr>
              <w:t>l</w:t>
            </w:r>
            <w:r w:rsidR="0087610B" w:rsidRPr="00071D3C">
              <w:rPr>
                <w:rFonts w:ascii="Arial" w:hAnsi="Arial" w:cs="Arial"/>
                <w:color w:val="0D0D0D" w:themeColor="text1" w:themeTint="F2"/>
                <w:sz w:val="22"/>
                <w:szCs w:val="22"/>
              </w:rPr>
              <w:t>eaflet</w:t>
            </w:r>
            <w:r w:rsidR="00D60FC7">
              <w:rPr>
                <w:rFonts w:ascii="Arial" w:hAnsi="Arial" w:cs="Arial"/>
                <w:color w:val="0D0D0D" w:themeColor="text1" w:themeTint="F2"/>
                <w:sz w:val="22"/>
                <w:szCs w:val="22"/>
              </w:rPr>
              <w:t xml:space="preserve"> </w:t>
            </w:r>
            <w:r>
              <w:rPr>
                <w:rFonts w:ascii="Arial" w:hAnsi="Arial" w:cs="Arial"/>
                <w:color w:val="0D0D0D" w:themeColor="text1" w:themeTint="F2"/>
                <w:sz w:val="22"/>
                <w:szCs w:val="22"/>
              </w:rPr>
              <w:t>(</w:t>
            </w:r>
            <w:r w:rsidR="00D60FC7">
              <w:rPr>
                <w:rFonts w:ascii="Arial" w:hAnsi="Arial" w:cs="Arial"/>
                <w:color w:val="0D0D0D" w:themeColor="text1" w:themeTint="F2"/>
                <w:sz w:val="22"/>
                <w:szCs w:val="22"/>
              </w:rPr>
              <w:t xml:space="preserve">that can be attached to a </w:t>
            </w:r>
            <w:r>
              <w:rPr>
                <w:rFonts w:ascii="Arial" w:hAnsi="Arial" w:cs="Arial"/>
                <w:color w:val="0D0D0D" w:themeColor="text1" w:themeTint="F2"/>
                <w:sz w:val="22"/>
                <w:szCs w:val="22"/>
              </w:rPr>
              <w:t xml:space="preserve">SMS </w:t>
            </w:r>
            <w:r w:rsidR="00D60FC7">
              <w:rPr>
                <w:rFonts w:ascii="Arial" w:hAnsi="Arial" w:cs="Arial"/>
                <w:color w:val="0D0D0D" w:themeColor="text1" w:themeTint="F2"/>
                <w:sz w:val="22"/>
                <w:szCs w:val="22"/>
              </w:rPr>
              <w:t>text</w:t>
            </w:r>
            <w:proofErr w:type="gramStart"/>
            <w:r>
              <w:rPr>
                <w:rFonts w:ascii="Arial" w:hAnsi="Arial" w:cs="Arial"/>
                <w:color w:val="0D0D0D" w:themeColor="text1" w:themeTint="F2"/>
                <w:sz w:val="22"/>
                <w:szCs w:val="22"/>
              </w:rPr>
              <w:t>)</w:t>
            </w:r>
            <w:proofErr w:type="gramEnd"/>
            <w:r w:rsidR="0087610B" w:rsidRPr="00071D3C">
              <w:rPr>
                <w:rFonts w:ascii="Arial" w:hAnsi="Arial" w:cs="Arial"/>
                <w:color w:val="0D0D0D" w:themeColor="text1" w:themeTint="F2"/>
                <w:sz w:val="22"/>
                <w:szCs w:val="22"/>
              </w:rPr>
              <w:t xml:space="preserve"> and a patient letter template accompany this guidance</w:t>
            </w:r>
            <w:r w:rsidR="0087610B">
              <w:rPr>
                <w:rFonts w:ascii="Arial" w:hAnsi="Arial" w:cs="Arial"/>
                <w:color w:val="0D0D0D" w:themeColor="text1" w:themeTint="F2"/>
                <w:sz w:val="22"/>
                <w:szCs w:val="22"/>
              </w:rPr>
              <w:t>.</w:t>
            </w:r>
          </w:p>
          <w:p w14:paraId="120793BF" w14:textId="4FA0323E" w:rsidR="0087610B" w:rsidRPr="00CB4CB6" w:rsidRDefault="00CB4CB6" w:rsidP="00CB4CB6">
            <w:pPr>
              <w:pStyle w:val="ListParagraph"/>
              <w:numPr>
                <w:ilvl w:val="0"/>
                <w:numId w:val="5"/>
              </w:numPr>
              <w:rPr>
                <w:rFonts w:ascii="Arial" w:hAnsi="Arial" w:cs="Arial"/>
                <w:b/>
                <w:bCs/>
                <w:sz w:val="22"/>
                <w:szCs w:val="22"/>
                <w:u w:val="single"/>
              </w:rPr>
            </w:pPr>
            <w:r w:rsidRPr="00CB4CB6">
              <w:rPr>
                <w:rFonts w:ascii="Arial" w:hAnsi="Arial" w:cs="Arial"/>
                <w:color w:val="0D0D0D" w:themeColor="text1" w:themeTint="F2"/>
                <w:sz w:val="22"/>
                <w:szCs w:val="22"/>
              </w:rPr>
              <w:t xml:space="preserve">For those patients </w:t>
            </w:r>
            <w:r w:rsidR="00D60FC7">
              <w:rPr>
                <w:rFonts w:ascii="Arial" w:hAnsi="Arial" w:cs="Arial"/>
                <w:color w:val="0D0D0D" w:themeColor="text1" w:themeTint="F2"/>
                <w:sz w:val="22"/>
                <w:szCs w:val="22"/>
              </w:rPr>
              <w:t>for whom</w:t>
            </w:r>
            <w:r w:rsidRPr="00CB4CB6">
              <w:rPr>
                <w:rFonts w:ascii="Arial" w:hAnsi="Arial" w:cs="Arial"/>
                <w:color w:val="0D0D0D" w:themeColor="text1" w:themeTint="F2"/>
                <w:sz w:val="22"/>
                <w:szCs w:val="22"/>
              </w:rPr>
              <w:t xml:space="preserve"> written communication may not be appropriate (</w:t>
            </w:r>
            <w:proofErr w:type="spellStart"/>
            <w:r w:rsidRPr="00CB4CB6">
              <w:rPr>
                <w:rFonts w:ascii="Arial" w:hAnsi="Arial" w:cs="Arial"/>
                <w:color w:val="0D0D0D" w:themeColor="text1" w:themeTint="F2"/>
                <w:sz w:val="22"/>
                <w:szCs w:val="22"/>
              </w:rPr>
              <w:t>i.e.</w:t>
            </w:r>
            <w:r w:rsidR="00C40606">
              <w:rPr>
                <w:rFonts w:ascii="Arial" w:hAnsi="Arial" w:cs="Arial"/>
                <w:color w:val="0D0D0D" w:themeColor="text1" w:themeTint="F2"/>
                <w:sz w:val="22"/>
                <w:szCs w:val="22"/>
              </w:rPr>
              <w:t>l</w:t>
            </w:r>
            <w:r w:rsidRPr="00CB4CB6">
              <w:rPr>
                <w:rFonts w:ascii="Arial" w:hAnsi="Arial" w:cs="Arial"/>
                <w:color w:val="0D0D0D" w:themeColor="text1" w:themeTint="F2"/>
                <w:sz w:val="22"/>
                <w:szCs w:val="22"/>
              </w:rPr>
              <w:t>earning</w:t>
            </w:r>
            <w:proofErr w:type="spellEnd"/>
            <w:r w:rsidRPr="00CB4CB6">
              <w:rPr>
                <w:rFonts w:ascii="Arial" w:hAnsi="Arial" w:cs="Arial"/>
                <w:color w:val="0D0D0D" w:themeColor="text1" w:themeTint="F2"/>
                <w:sz w:val="22"/>
                <w:szCs w:val="22"/>
              </w:rPr>
              <w:t>/physical disability; English not their first language); please consider alternative methods of communication</w:t>
            </w:r>
            <w:r w:rsidR="00D4094B">
              <w:rPr>
                <w:rFonts w:ascii="Arial" w:hAnsi="Arial" w:cs="Arial"/>
                <w:color w:val="0D0D0D" w:themeColor="text1" w:themeTint="F2"/>
                <w:sz w:val="22"/>
                <w:szCs w:val="22"/>
              </w:rPr>
              <w:t>.</w:t>
            </w:r>
          </w:p>
          <w:p w14:paraId="289F970D" w14:textId="39767F8A" w:rsidR="00CB4CB6" w:rsidRPr="0087610B" w:rsidRDefault="00CB4CB6" w:rsidP="00CB4CB6">
            <w:pPr>
              <w:pStyle w:val="ListParagraph"/>
              <w:ind w:left="360"/>
              <w:rPr>
                <w:rFonts w:ascii="Arial" w:hAnsi="Arial" w:cs="Arial"/>
                <w:b/>
                <w:bCs/>
                <w:sz w:val="22"/>
                <w:szCs w:val="22"/>
                <w:u w:val="single"/>
              </w:rPr>
            </w:pPr>
          </w:p>
        </w:tc>
      </w:tr>
    </w:tbl>
    <w:p w14:paraId="3E5D3E8D" w14:textId="1A358EB4" w:rsidR="00D9543F" w:rsidRDefault="00D9543F"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7610B" w14:paraId="3A251312" w14:textId="77777777" w:rsidTr="0087610B">
        <w:tc>
          <w:tcPr>
            <w:tcW w:w="9016" w:type="dxa"/>
          </w:tcPr>
          <w:p w14:paraId="39FE994D" w14:textId="51E63F38" w:rsidR="0087610B" w:rsidRDefault="0087610B" w:rsidP="00D06212">
            <w:pPr>
              <w:rPr>
                <w:rFonts w:ascii="Arial" w:hAnsi="Arial" w:cs="Arial"/>
                <w:b/>
                <w:bCs/>
                <w:sz w:val="22"/>
                <w:szCs w:val="22"/>
                <w:u w:val="single"/>
              </w:rPr>
            </w:pPr>
            <w:r>
              <w:rPr>
                <w:rFonts w:ascii="Arial" w:hAnsi="Arial" w:cs="Arial"/>
                <w:b/>
                <w:bCs/>
                <w:sz w:val="22"/>
                <w:szCs w:val="22"/>
                <w:u w:val="single"/>
              </w:rPr>
              <w:t xml:space="preserve">Patient </w:t>
            </w:r>
            <w:r w:rsidR="00D4094B">
              <w:rPr>
                <w:rFonts w:ascii="Arial" w:hAnsi="Arial" w:cs="Arial"/>
                <w:b/>
                <w:bCs/>
                <w:sz w:val="22"/>
                <w:szCs w:val="22"/>
                <w:u w:val="single"/>
              </w:rPr>
              <w:t>C</w:t>
            </w:r>
            <w:r>
              <w:rPr>
                <w:rFonts w:ascii="Arial" w:hAnsi="Arial" w:cs="Arial"/>
                <w:b/>
                <w:bCs/>
                <w:sz w:val="22"/>
                <w:szCs w:val="22"/>
                <w:u w:val="single"/>
              </w:rPr>
              <w:t>onsiderations</w:t>
            </w:r>
          </w:p>
          <w:p w14:paraId="4029E162" w14:textId="21B832A9" w:rsidR="00FC099E" w:rsidRDefault="00FC099E" w:rsidP="00D06212">
            <w:pPr>
              <w:rPr>
                <w:rFonts w:ascii="Arial" w:hAnsi="Arial" w:cs="Arial"/>
                <w:b/>
                <w:bCs/>
                <w:sz w:val="22"/>
                <w:szCs w:val="22"/>
                <w:u w:val="single"/>
              </w:rPr>
            </w:pPr>
          </w:p>
          <w:p w14:paraId="327C50DE" w14:textId="7152B83E" w:rsidR="00FC099E" w:rsidRDefault="00FC099E" w:rsidP="00FC099E">
            <w:pPr>
              <w:pStyle w:val="ListParagraph"/>
              <w:numPr>
                <w:ilvl w:val="0"/>
                <w:numId w:val="10"/>
              </w:numPr>
              <w:rPr>
                <w:rFonts w:ascii="Arial" w:hAnsi="Arial" w:cs="Arial"/>
                <w:sz w:val="22"/>
                <w:szCs w:val="22"/>
              </w:rPr>
            </w:pPr>
            <w:r w:rsidRPr="00FC099E">
              <w:rPr>
                <w:rFonts w:ascii="Arial" w:hAnsi="Arial" w:cs="Arial"/>
                <w:sz w:val="22"/>
                <w:szCs w:val="22"/>
              </w:rPr>
              <w:t xml:space="preserve">Ideally </w:t>
            </w:r>
            <w:r>
              <w:rPr>
                <w:rFonts w:ascii="Arial" w:hAnsi="Arial" w:cs="Arial"/>
                <w:sz w:val="22"/>
                <w:szCs w:val="22"/>
              </w:rPr>
              <w:t>there should be a timely face</w:t>
            </w:r>
            <w:r w:rsidR="00D4094B">
              <w:rPr>
                <w:rFonts w:ascii="Arial" w:hAnsi="Arial" w:cs="Arial"/>
                <w:sz w:val="22"/>
                <w:szCs w:val="22"/>
              </w:rPr>
              <w:t>-</w:t>
            </w:r>
            <w:r>
              <w:rPr>
                <w:rFonts w:ascii="Arial" w:hAnsi="Arial" w:cs="Arial"/>
                <w:sz w:val="22"/>
                <w:szCs w:val="22"/>
              </w:rPr>
              <w:t>to</w:t>
            </w:r>
            <w:r w:rsidR="00D4094B">
              <w:rPr>
                <w:rFonts w:ascii="Arial" w:hAnsi="Arial" w:cs="Arial"/>
                <w:sz w:val="22"/>
                <w:szCs w:val="22"/>
              </w:rPr>
              <w:t>-</w:t>
            </w:r>
            <w:r>
              <w:rPr>
                <w:rFonts w:ascii="Arial" w:hAnsi="Arial" w:cs="Arial"/>
                <w:sz w:val="22"/>
                <w:szCs w:val="22"/>
              </w:rPr>
              <w:t xml:space="preserve">face review following this change. Performing </w:t>
            </w:r>
            <w:r w:rsidR="008122CE">
              <w:rPr>
                <w:rFonts w:ascii="Arial" w:hAnsi="Arial" w:cs="Arial"/>
                <w:sz w:val="22"/>
                <w:szCs w:val="22"/>
              </w:rPr>
              <w:t>the</w:t>
            </w:r>
            <w:r>
              <w:rPr>
                <w:rFonts w:ascii="Arial" w:hAnsi="Arial" w:cs="Arial"/>
                <w:sz w:val="22"/>
                <w:szCs w:val="22"/>
              </w:rPr>
              <w:t xml:space="preserve"> bulk </w:t>
            </w:r>
            <w:r w:rsidR="008122CE">
              <w:rPr>
                <w:rFonts w:ascii="Arial" w:hAnsi="Arial" w:cs="Arial"/>
                <w:sz w:val="22"/>
                <w:szCs w:val="22"/>
              </w:rPr>
              <w:t>switch</w:t>
            </w:r>
            <w:r>
              <w:rPr>
                <w:rFonts w:ascii="Arial" w:hAnsi="Arial" w:cs="Arial"/>
                <w:sz w:val="22"/>
                <w:szCs w:val="22"/>
              </w:rPr>
              <w:t xml:space="preserve"> in batches </w:t>
            </w:r>
            <w:r w:rsidR="008122CE">
              <w:rPr>
                <w:rFonts w:ascii="Arial" w:hAnsi="Arial" w:cs="Arial"/>
                <w:sz w:val="22"/>
                <w:szCs w:val="22"/>
              </w:rPr>
              <w:t>could</w:t>
            </w:r>
            <w:r>
              <w:rPr>
                <w:rFonts w:ascii="Arial" w:hAnsi="Arial" w:cs="Arial"/>
                <w:sz w:val="22"/>
                <w:szCs w:val="22"/>
              </w:rPr>
              <w:t xml:space="preserve"> facilitate this.</w:t>
            </w:r>
          </w:p>
          <w:p w14:paraId="194FA41A" w14:textId="007A3EA1" w:rsidR="00D4094B" w:rsidRPr="00D4094B" w:rsidRDefault="008122CE" w:rsidP="00D4094B">
            <w:pPr>
              <w:pStyle w:val="ListParagraph"/>
              <w:numPr>
                <w:ilvl w:val="0"/>
                <w:numId w:val="10"/>
              </w:numPr>
              <w:rPr>
                <w:rFonts w:ascii="Arial" w:hAnsi="Arial" w:cs="Arial"/>
                <w:sz w:val="22"/>
                <w:szCs w:val="22"/>
              </w:rPr>
            </w:pPr>
            <w:r>
              <w:rPr>
                <w:rFonts w:ascii="Arial" w:hAnsi="Arial" w:cs="Arial"/>
                <w:sz w:val="22"/>
                <w:szCs w:val="22"/>
              </w:rPr>
              <w:t>A timely face</w:t>
            </w:r>
            <w:r w:rsidR="00D4094B">
              <w:rPr>
                <w:rFonts w:ascii="Arial" w:hAnsi="Arial" w:cs="Arial"/>
                <w:sz w:val="22"/>
                <w:szCs w:val="22"/>
              </w:rPr>
              <w:t>-</w:t>
            </w:r>
            <w:r>
              <w:rPr>
                <w:rFonts w:ascii="Arial" w:hAnsi="Arial" w:cs="Arial"/>
                <w:sz w:val="22"/>
                <w:szCs w:val="22"/>
              </w:rPr>
              <w:t>to</w:t>
            </w:r>
            <w:r w:rsidR="00D4094B">
              <w:rPr>
                <w:rFonts w:ascii="Arial" w:hAnsi="Arial" w:cs="Arial"/>
                <w:sz w:val="22"/>
                <w:szCs w:val="22"/>
              </w:rPr>
              <w:t>-</w:t>
            </w:r>
            <w:r>
              <w:rPr>
                <w:rFonts w:ascii="Arial" w:hAnsi="Arial" w:cs="Arial"/>
                <w:sz w:val="22"/>
                <w:szCs w:val="22"/>
              </w:rPr>
              <w:t xml:space="preserve">face medication review is particularly important for patients with poorly controlled asthma, severe asthma, frequent exacerbators or </w:t>
            </w:r>
            <w:r w:rsidR="0099749A">
              <w:rPr>
                <w:rFonts w:ascii="Arial" w:hAnsi="Arial" w:cs="Arial"/>
                <w:sz w:val="22"/>
                <w:szCs w:val="22"/>
              </w:rPr>
              <w:t xml:space="preserve">those </w:t>
            </w:r>
            <w:r>
              <w:rPr>
                <w:rFonts w:ascii="Arial" w:hAnsi="Arial" w:cs="Arial"/>
                <w:sz w:val="22"/>
                <w:szCs w:val="22"/>
              </w:rPr>
              <w:t>under secondary respiratory care.</w:t>
            </w:r>
          </w:p>
          <w:p w14:paraId="7B19C194" w14:textId="58E6229D" w:rsidR="0087610B" w:rsidRPr="00D60FC7" w:rsidRDefault="008122CE" w:rsidP="00D4094B">
            <w:pPr>
              <w:pStyle w:val="ListParagraph"/>
              <w:numPr>
                <w:ilvl w:val="0"/>
                <w:numId w:val="10"/>
              </w:numPr>
              <w:rPr>
                <w:rFonts w:ascii="Arial" w:hAnsi="Arial" w:cs="Arial"/>
                <w:b/>
                <w:bCs/>
                <w:sz w:val="22"/>
                <w:szCs w:val="22"/>
                <w:u w:val="single"/>
              </w:rPr>
            </w:pPr>
            <w:r w:rsidRPr="00D60FC7">
              <w:rPr>
                <w:rFonts w:ascii="Arial" w:hAnsi="Arial" w:cs="Arial"/>
                <w:sz w:val="22"/>
                <w:szCs w:val="22"/>
              </w:rPr>
              <w:t>F</w:t>
            </w:r>
            <w:r w:rsidR="00CB4CB6" w:rsidRPr="00D60FC7">
              <w:rPr>
                <w:rFonts w:ascii="Arial" w:hAnsi="Arial" w:cs="Arial"/>
                <w:sz w:val="22"/>
                <w:szCs w:val="22"/>
              </w:rPr>
              <w:t>or those patients clinically suitable to switch to a “Greener Inhaler” please discuss suitable options at the patient’s next face</w:t>
            </w:r>
            <w:r w:rsidR="00D4094B">
              <w:rPr>
                <w:rFonts w:ascii="Arial" w:hAnsi="Arial" w:cs="Arial"/>
                <w:sz w:val="22"/>
                <w:szCs w:val="22"/>
              </w:rPr>
              <w:t>-</w:t>
            </w:r>
            <w:r w:rsidR="00CB4CB6" w:rsidRPr="00D60FC7">
              <w:rPr>
                <w:rFonts w:ascii="Arial" w:hAnsi="Arial" w:cs="Arial"/>
                <w:sz w:val="22"/>
                <w:szCs w:val="22"/>
              </w:rPr>
              <w:t>to</w:t>
            </w:r>
            <w:r w:rsidR="00D4094B">
              <w:rPr>
                <w:rFonts w:ascii="Arial" w:hAnsi="Arial" w:cs="Arial"/>
                <w:sz w:val="22"/>
                <w:szCs w:val="22"/>
              </w:rPr>
              <w:t>-</w:t>
            </w:r>
            <w:r w:rsidR="00CB4CB6" w:rsidRPr="00D60FC7">
              <w:rPr>
                <w:rFonts w:ascii="Arial" w:hAnsi="Arial" w:cs="Arial"/>
                <w:sz w:val="22"/>
                <w:szCs w:val="22"/>
              </w:rPr>
              <w:t>face respiratory review</w:t>
            </w:r>
          </w:p>
          <w:p w14:paraId="4EF578B8" w14:textId="3AD79271" w:rsidR="00D60FC7" w:rsidRPr="0087610B" w:rsidRDefault="00D60FC7" w:rsidP="00D60FC7">
            <w:pPr>
              <w:pStyle w:val="ListParagraph"/>
              <w:ind w:left="360"/>
              <w:rPr>
                <w:rFonts w:ascii="Arial" w:hAnsi="Arial" w:cs="Arial"/>
                <w:b/>
                <w:bCs/>
                <w:sz w:val="22"/>
                <w:szCs w:val="22"/>
                <w:u w:val="single"/>
              </w:rPr>
            </w:pPr>
          </w:p>
        </w:tc>
      </w:tr>
    </w:tbl>
    <w:p w14:paraId="13B03CF3" w14:textId="0AC2ECA2" w:rsidR="00D9543F" w:rsidRDefault="00D9543F"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CB4CB6" w14:paraId="2E99F2DD" w14:textId="77777777" w:rsidTr="00CB4CB6">
        <w:tc>
          <w:tcPr>
            <w:tcW w:w="9016" w:type="dxa"/>
          </w:tcPr>
          <w:p w14:paraId="3D5B1FF2" w14:textId="3D2EB4B4" w:rsidR="00CB4CB6" w:rsidRDefault="00CB4CB6" w:rsidP="00D06212">
            <w:pPr>
              <w:rPr>
                <w:rFonts w:ascii="Arial" w:hAnsi="Arial" w:cs="Arial"/>
                <w:b/>
                <w:bCs/>
                <w:sz w:val="22"/>
                <w:szCs w:val="22"/>
                <w:u w:val="single"/>
              </w:rPr>
            </w:pPr>
            <w:r>
              <w:rPr>
                <w:rFonts w:ascii="Arial" w:hAnsi="Arial" w:cs="Arial"/>
                <w:b/>
                <w:bCs/>
                <w:sz w:val="22"/>
                <w:szCs w:val="22"/>
                <w:u w:val="single"/>
              </w:rPr>
              <w:t xml:space="preserve">Communication with </w:t>
            </w:r>
            <w:r w:rsidR="00D4094B">
              <w:rPr>
                <w:rFonts w:ascii="Arial" w:hAnsi="Arial" w:cs="Arial"/>
                <w:b/>
                <w:bCs/>
                <w:sz w:val="22"/>
                <w:szCs w:val="22"/>
                <w:u w:val="single"/>
              </w:rPr>
              <w:t>C</w:t>
            </w:r>
            <w:r>
              <w:rPr>
                <w:rFonts w:ascii="Arial" w:hAnsi="Arial" w:cs="Arial"/>
                <w:b/>
                <w:bCs/>
                <w:sz w:val="22"/>
                <w:szCs w:val="22"/>
                <w:u w:val="single"/>
              </w:rPr>
              <w:t xml:space="preserve">ommunity </w:t>
            </w:r>
            <w:r w:rsidR="00D4094B">
              <w:rPr>
                <w:rFonts w:ascii="Arial" w:hAnsi="Arial" w:cs="Arial"/>
                <w:b/>
                <w:bCs/>
                <w:sz w:val="22"/>
                <w:szCs w:val="22"/>
                <w:u w:val="single"/>
              </w:rPr>
              <w:t>P</w:t>
            </w:r>
            <w:r>
              <w:rPr>
                <w:rFonts w:ascii="Arial" w:hAnsi="Arial" w:cs="Arial"/>
                <w:b/>
                <w:bCs/>
                <w:sz w:val="22"/>
                <w:szCs w:val="22"/>
                <w:u w:val="single"/>
              </w:rPr>
              <w:t>harmacy</w:t>
            </w:r>
          </w:p>
          <w:p w14:paraId="5ACBD1A1" w14:textId="5835E321" w:rsidR="00CB4CB6" w:rsidRDefault="00CB4CB6" w:rsidP="00D06212">
            <w:pPr>
              <w:rPr>
                <w:rFonts w:ascii="Arial" w:hAnsi="Arial" w:cs="Arial"/>
                <w:b/>
                <w:bCs/>
                <w:sz w:val="22"/>
                <w:szCs w:val="22"/>
                <w:u w:val="single"/>
              </w:rPr>
            </w:pPr>
          </w:p>
          <w:p w14:paraId="26575A6E" w14:textId="603D08CA" w:rsidR="00CB4CB6" w:rsidRPr="00CB4CB6" w:rsidRDefault="00CB4CB6" w:rsidP="00D06212">
            <w:pPr>
              <w:numPr>
                <w:ilvl w:val="0"/>
                <w:numId w:val="5"/>
              </w:numPr>
              <w:rPr>
                <w:rFonts w:ascii="Arial" w:hAnsi="Arial" w:cs="Arial"/>
                <w:sz w:val="22"/>
                <w:szCs w:val="22"/>
              </w:rPr>
            </w:pPr>
            <w:r w:rsidRPr="00CB4CB6">
              <w:rPr>
                <w:rFonts w:ascii="Arial" w:hAnsi="Arial" w:cs="Arial"/>
                <w:sz w:val="22"/>
                <w:szCs w:val="22"/>
              </w:rPr>
              <w:t>It is advisable that all local community pharmacies are contacted 2 weeks prior to performing the bulk switch to enable appropriate stock management. Please find a Community Pharmacy letter template within the “Prescriber Pack”</w:t>
            </w:r>
            <w:r w:rsidR="00FC099E">
              <w:rPr>
                <w:rFonts w:ascii="Arial" w:hAnsi="Arial" w:cs="Arial"/>
                <w:sz w:val="22"/>
                <w:szCs w:val="22"/>
              </w:rPr>
              <w:t>.</w:t>
            </w:r>
          </w:p>
          <w:p w14:paraId="40D7B726" w14:textId="6BE567CB" w:rsidR="00CB4CB6" w:rsidRPr="00CB4CB6" w:rsidRDefault="00CB4CB6" w:rsidP="00D06212">
            <w:pPr>
              <w:rPr>
                <w:rFonts w:ascii="Arial" w:hAnsi="Arial" w:cs="Arial"/>
                <w:b/>
                <w:bCs/>
                <w:sz w:val="22"/>
                <w:szCs w:val="22"/>
                <w:u w:val="single"/>
              </w:rPr>
            </w:pPr>
          </w:p>
        </w:tc>
      </w:tr>
    </w:tbl>
    <w:p w14:paraId="4B56F9F9" w14:textId="77777777" w:rsidR="00F26A50" w:rsidRDefault="00F26A50" w:rsidP="00D06212">
      <w:pPr>
        <w:rPr>
          <w:rFonts w:ascii="Arial" w:hAnsi="Arial" w:cs="Arial"/>
          <w:sz w:val="22"/>
          <w:szCs w:val="22"/>
        </w:rPr>
      </w:pPr>
    </w:p>
    <w:p w14:paraId="3B2E6D77" w14:textId="77777777" w:rsidR="00F26A50" w:rsidRPr="00D06212" w:rsidRDefault="00F26A50"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7610B" w14:paraId="5504C123" w14:textId="77777777" w:rsidTr="0087610B">
        <w:tc>
          <w:tcPr>
            <w:tcW w:w="9016" w:type="dxa"/>
          </w:tcPr>
          <w:p w14:paraId="7E15951C" w14:textId="5B47A905" w:rsidR="0087610B" w:rsidRDefault="0087610B" w:rsidP="0087610B">
            <w:pPr>
              <w:rPr>
                <w:rFonts w:ascii="Arial" w:hAnsi="Arial" w:cs="Arial"/>
                <w:b/>
                <w:bCs/>
                <w:sz w:val="22"/>
                <w:szCs w:val="22"/>
                <w:u w:val="single"/>
              </w:rPr>
            </w:pPr>
            <w:r>
              <w:rPr>
                <w:rFonts w:ascii="Arial" w:hAnsi="Arial" w:cs="Arial"/>
                <w:b/>
                <w:bCs/>
                <w:sz w:val="22"/>
                <w:szCs w:val="22"/>
                <w:u w:val="single"/>
              </w:rPr>
              <w:lastRenderedPageBreak/>
              <w:t xml:space="preserve">Communication within the </w:t>
            </w:r>
            <w:r w:rsidR="00D4094B">
              <w:rPr>
                <w:rFonts w:ascii="Arial" w:hAnsi="Arial" w:cs="Arial"/>
                <w:b/>
                <w:bCs/>
                <w:sz w:val="22"/>
                <w:szCs w:val="22"/>
                <w:u w:val="single"/>
              </w:rPr>
              <w:t>P</w:t>
            </w:r>
            <w:r>
              <w:rPr>
                <w:rFonts w:ascii="Arial" w:hAnsi="Arial" w:cs="Arial"/>
                <w:b/>
                <w:bCs/>
                <w:sz w:val="22"/>
                <w:szCs w:val="22"/>
                <w:u w:val="single"/>
              </w:rPr>
              <w:t>ractice</w:t>
            </w:r>
          </w:p>
          <w:p w14:paraId="1376A294" w14:textId="4947B459" w:rsidR="0087610B" w:rsidRDefault="0087610B" w:rsidP="0087610B">
            <w:pPr>
              <w:rPr>
                <w:rFonts w:ascii="Arial" w:hAnsi="Arial" w:cs="Arial"/>
                <w:b/>
                <w:bCs/>
                <w:sz w:val="22"/>
                <w:szCs w:val="22"/>
                <w:u w:val="single"/>
              </w:rPr>
            </w:pPr>
          </w:p>
          <w:p w14:paraId="5587DC6D" w14:textId="77777777" w:rsidR="0087610B" w:rsidRPr="00C40606" w:rsidRDefault="0087610B" w:rsidP="00D60FC7">
            <w:pPr>
              <w:numPr>
                <w:ilvl w:val="0"/>
                <w:numId w:val="5"/>
              </w:numPr>
              <w:rPr>
                <w:rFonts w:ascii="Arial" w:hAnsi="Arial" w:cs="Arial"/>
                <w:b/>
                <w:bCs/>
                <w:sz w:val="22"/>
                <w:szCs w:val="22"/>
                <w:u w:val="single"/>
              </w:rPr>
            </w:pPr>
            <w:r w:rsidRPr="0087610B">
              <w:rPr>
                <w:rFonts w:ascii="Arial" w:hAnsi="Arial" w:cs="Arial"/>
                <w:sz w:val="22"/>
                <w:szCs w:val="22"/>
              </w:rPr>
              <w:t xml:space="preserve">Please ensure that this switch is explained to practice admin staff to ensure that </w:t>
            </w:r>
            <w:proofErr w:type="spellStart"/>
            <w:r w:rsidRPr="0087610B">
              <w:rPr>
                <w:rFonts w:ascii="Arial" w:hAnsi="Arial" w:cs="Arial"/>
                <w:sz w:val="22"/>
                <w:szCs w:val="22"/>
              </w:rPr>
              <w:t>Fostair</w:t>
            </w:r>
            <w:proofErr w:type="spellEnd"/>
            <w:r w:rsidRPr="0087610B">
              <w:rPr>
                <w:rFonts w:ascii="Arial" w:hAnsi="Arial" w:cs="Arial"/>
                <w:sz w:val="22"/>
                <w:szCs w:val="22"/>
              </w:rPr>
              <w:t xml:space="preserve"> MDI is</w:t>
            </w:r>
            <w:r w:rsidR="00D67184">
              <w:rPr>
                <w:rFonts w:ascii="Arial" w:hAnsi="Arial" w:cs="Arial"/>
                <w:sz w:val="22"/>
                <w:szCs w:val="22"/>
              </w:rPr>
              <w:t xml:space="preserve"> </w:t>
            </w:r>
            <w:r w:rsidRPr="0087610B">
              <w:rPr>
                <w:rFonts w:ascii="Arial" w:hAnsi="Arial" w:cs="Arial"/>
                <w:sz w:val="22"/>
                <w:szCs w:val="22"/>
              </w:rPr>
              <w:t>n</w:t>
            </w:r>
            <w:r w:rsidR="00D67184">
              <w:rPr>
                <w:rFonts w:ascii="Arial" w:hAnsi="Arial" w:cs="Arial"/>
                <w:sz w:val="22"/>
                <w:szCs w:val="22"/>
              </w:rPr>
              <w:t>o</w:t>
            </w:r>
            <w:r w:rsidRPr="0087610B">
              <w:rPr>
                <w:rFonts w:ascii="Arial" w:hAnsi="Arial" w:cs="Arial"/>
                <w:sz w:val="22"/>
                <w:szCs w:val="22"/>
              </w:rPr>
              <w:t>t inadvertently put back onto the repeat template.</w:t>
            </w:r>
          </w:p>
          <w:p w14:paraId="1E559A14" w14:textId="4FB45E06" w:rsidR="00C40606" w:rsidRPr="0087610B" w:rsidRDefault="00C40606" w:rsidP="00C40606">
            <w:pPr>
              <w:ind w:left="360"/>
              <w:rPr>
                <w:rFonts w:ascii="Arial" w:hAnsi="Arial" w:cs="Arial"/>
                <w:b/>
                <w:bCs/>
                <w:sz w:val="22"/>
                <w:szCs w:val="22"/>
                <w:u w:val="single"/>
              </w:rPr>
            </w:pPr>
          </w:p>
        </w:tc>
      </w:tr>
    </w:tbl>
    <w:p w14:paraId="57D4B8C6" w14:textId="68335640" w:rsidR="00921A4A" w:rsidRPr="0087610B" w:rsidRDefault="00921A4A" w:rsidP="0087610B">
      <w:pPr>
        <w:rPr>
          <w:rFonts w:ascii="Arial" w:hAnsi="Arial" w:cs="Arial"/>
          <w:sz w:val="22"/>
          <w:szCs w:val="22"/>
        </w:rPr>
      </w:pPr>
    </w:p>
    <w:p w14:paraId="5B286133" w14:textId="3725D5E5" w:rsidR="009529DD" w:rsidRDefault="009529DD" w:rsidP="009529DD">
      <w:pPr>
        <w:rPr>
          <w:rFonts w:ascii="Arial" w:hAnsi="Arial" w:cs="Arial"/>
          <w:sz w:val="22"/>
          <w:szCs w:val="22"/>
        </w:rPr>
      </w:pPr>
    </w:p>
    <w:p w14:paraId="3E391696" w14:textId="2F245CAC" w:rsidR="009529DD" w:rsidRDefault="009529DD" w:rsidP="009529DD">
      <w:pPr>
        <w:rPr>
          <w:rFonts w:ascii="Arial" w:hAnsi="Arial" w:cs="Arial"/>
          <w:sz w:val="22"/>
          <w:szCs w:val="22"/>
        </w:rPr>
      </w:pPr>
    </w:p>
    <w:p w14:paraId="4CC3DE16" w14:textId="1DE10C09" w:rsidR="002E7D14" w:rsidRPr="00D67184" w:rsidRDefault="002E7D14" w:rsidP="002E7D14">
      <w:pPr>
        <w:jc w:val="center"/>
        <w:rPr>
          <w:rFonts w:ascii="Arial" w:hAnsi="Arial" w:cs="Arial"/>
          <w:b/>
          <w:bCs/>
          <w:sz w:val="22"/>
          <w:szCs w:val="22"/>
          <w:u w:val="single"/>
        </w:rPr>
      </w:pPr>
      <w:r w:rsidRPr="00D67184">
        <w:rPr>
          <w:rFonts w:ascii="Arial" w:hAnsi="Arial" w:cs="Arial"/>
          <w:b/>
          <w:bCs/>
          <w:sz w:val="22"/>
          <w:szCs w:val="22"/>
          <w:u w:val="single"/>
        </w:rPr>
        <w:t xml:space="preserve">Practice </w:t>
      </w:r>
      <w:r w:rsidR="003D1FBE">
        <w:rPr>
          <w:rFonts w:ascii="Arial" w:hAnsi="Arial" w:cs="Arial"/>
          <w:b/>
          <w:bCs/>
          <w:sz w:val="22"/>
          <w:szCs w:val="22"/>
          <w:u w:val="single"/>
        </w:rPr>
        <w:t xml:space="preserve">Operational Guide to Bulk Switching </w:t>
      </w:r>
      <w:proofErr w:type="spellStart"/>
      <w:r w:rsidR="003D1FBE">
        <w:rPr>
          <w:rFonts w:ascii="Arial" w:hAnsi="Arial" w:cs="Arial"/>
          <w:b/>
          <w:bCs/>
          <w:sz w:val="22"/>
          <w:szCs w:val="22"/>
          <w:u w:val="single"/>
        </w:rPr>
        <w:t>Fostair</w:t>
      </w:r>
      <w:proofErr w:type="spellEnd"/>
      <w:r w:rsidR="003D1FBE">
        <w:rPr>
          <w:rFonts w:ascii="Arial" w:hAnsi="Arial" w:cs="Arial"/>
          <w:b/>
          <w:bCs/>
          <w:sz w:val="22"/>
          <w:szCs w:val="22"/>
          <w:u w:val="single"/>
        </w:rPr>
        <w:t xml:space="preserve"> MDI to </w:t>
      </w:r>
      <w:proofErr w:type="spellStart"/>
      <w:r w:rsidR="003D1FBE">
        <w:rPr>
          <w:rFonts w:ascii="Arial" w:hAnsi="Arial" w:cs="Arial"/>
          <w:b/>
          <w:bCs/>
          <w:sz w:val="22"/>
          <w:szCs w:val="22"/>
          <w:u w:val="single"/>
        </w:rPr>
        <w:t>Luforbec</w:t>
      </w:r>
      <w:proofErr w:type="spellEnd"/>
      <w:r w:rsidR="009629BE">
        <w:rPr>
          <w:rFonts w:ascii="Arial" w:hAnsi="Arial" w:cs="Arial"/>
          <w:b/>
          <w:bCs/>
          <w:sz w:val="22"/>
          <w:szCs w:val="22"/>
          <w:u w:val="single"/>
        </w:rPr>
        <w:t>/</w:t>
      </w:r>
      <w:proofErr w:type="spellStart"/>
      <w:r w:rsidR="009629BE">
        <w:rPr>
          <w:rFonts w:ascii="Arial" w:hAnsi="Arial" w:cs="Arial"/>
          <w:b/>
          <w:bCs/>
          <w:sz w:val="22"/>
          <w:szCs w:val="22"/>
          <w:u w:val="single"/>
        </w:rPr>
        <w:t>Bibecfo</w:t>
      </w:r>
      <w:proofErr w:type="spellEnd"/>
      <w:r w:rsidR="003D1FBE">
        <w:rPr>
          <w:rFonts w:ascii="Arial" w:hAnsi="Arial" w:cs="Arial"/>
          <w:b/>
          <w:bCs/>
          <w:sz w:val="22"/>
          <w:szCs w:val="22"/>
          <w:u w:val="single"/>
        </w:rPr>
        <w:t xml:space="preserve"> MDI</w:t>
      </w:r>
    </w:p>
    <w:p w14:paraId="1353C323" w14:textId="334DF4E4" w:rsidR="00572A18" w:rsidRDefault="00572A18" w:rsidP="00BD7C9E">
      <w:pPr>
        <w:jc w:val="center"/>
        <w:rPr>
          <w:rFonts w:ascii="Arial" w:hAnsi="Arial" w:cs="Arial"/>
          <w:sz w:val="22"/>
          <w:szCs w:val="22"/>
          <w:u w:val="single"/>
        </w:rPr>
      </w:pPr>
    </w:p>
    <w:p w14:paraId="404E12CB" w14:textId="77777777" w:rsidR="00572A18" w:rsidRPr="00130CAA" w:rsidRDefault="00572A18" w:rsidP="00572A18">
      <w:pPr>
        <w:pStyle w:val="BodyText"/>
      </w:pPr>
    </w:p>
    <w:p w14:paraId="7299B7DD" w14:textId="3E5FDDD9" w:rsidR="005E1946" w:rsidRDefault="005E1946" w:rsidP="005E1946">
      <w:pPr>
        <w:pStyle w:val="BodyText"/>
      </w:pPr>
      <w:r>
        <w:t xml:space="preserve">Prior to performing the bulk switch, please run the following F12 searches on </w:t>
      </w:r>
      <w:proofErr w:type="spellStart"/>
      <w:r>
        <w:t>SystmOne</w:t>
      </w:r>
      <w:proofErr w:type="spellEnd"/>
      <w:r>
        <w:t>:</w:t>
      </w:r>
    </w:p>
    <w:p w14:paraId="60619EA1" w14:textId="77777777" w:rsidR="005E1946" w:rsidRDefault="005E1946" w:rsidP="005E1946">
      <w:pPr>
        <w:pStyle w:val="BodyText"/>
      </w:pPr>
    </w:p>
    <w:p w14:paraId="0D0191CC" w14:textId="2EC11755" w:rsidR="005E1946" w:rsidRDefault="005E1946" w:rsidP="005E1946">
      <w:pPr>
        <w:pStyle w:val="BodyText"/>
        <w:numPr>
          <w:ilvl w:val="0"/>
          <w:numId w:val="9"/>
        </w:numPr>
      </w:pPr>
      <w:bookmarkStart w:id="1" w:name="_Hlk150959125"/>
      <w:proofErr w:type="spellStart"/>
      <w:r>
        <w:t>Fostair</w:t>
      </w:r>
      <w:proofErr w:type="spellEnd"/>
      <w:r>
        <w:t xml:space="preserve"> 100/6</w:t>
      </w:r>
      <w:r w:rsidRPr="005E1946">
        <w:t xml:space="preserve"> (repeat)</w:t>
      </w:r>
      <w:r>
        <w:t xml:space="preserve"> &gt;18: </w:t>
      </w:r>
      <w:r w:rsidRPr="005E1946">
        <w:t xml:space="preserve">accessed via the F12 drug database, using </w:t>
      </w:r>
      <w:proofErr w:type="spellStart"/>
      <w:r w:rsidRPr="005E1946">
        <w:t>zz</w:t>
      </w:r>
      <w:proofErr w:type="spellEnd"/>
      <w:r w:rsidRPr="005E1946">
        <w:t xml:space="preserve"> F12 Drug DB then ▪ </w:t>
      </w:r>
      <w:proofErr w:type="gramStart"/>
      <w:r>
        <w:t>F</w:t>
      </w:r>
      <w:proofErr w:type="gramEnd"/>
    </w:p>
    <w:bookmarkEnd w:id="1"/>
    <w:p w14:paraId="11C04B2A" w14:textId="4A0EAAD3" w:rsidR="00130CAA" w:rsidRDefault="005E1946" w:rsidP="005E1946">
      <w:pPr>
        <w:pStyle w:val="BodyText"/>
        <w:numPr>
          <w:ilvl w:val="0"/>
          <w:numId w:val="9"/>
        </w:numPr>
      </w:pPr>
      <w:proofErr w:type="spellStart"/>
      <w:r>
        <w:t>Fostair</w:t>
      </w:r>
      <w:proofErr w:type="spellEnd"/>
      <w:r>
        <w:t xml:space="preserve"> 200/6</w:t>
      </w:r>
      <w:r w:rsidRPr="005E1946">
        <w:t xml:space="preserve"> (repeat)</w:t>
      </w:r>
      <w:r>
        <w:t xml:space="preserve"> &gt;18: </w:t>
      </w:r>
      <w:r w:rsidRPr="005E1946">
        <w:t xml:space="preserve">accessed via the F12 drug database, using </w:t>
      </w:r>
      <w:proofErr w:type="spellStart"/>
      <w:r w:rsidRPr="005E1946">
        <w:t>zz</w:t>
      </w:r>
      <w:proofErr w:type="spellEnd"/>
      <w:r w:rsidRPr="005E1946">
        <w:t xml:space="preserve"> F12 Drug DB then ▪ </w:t>
      </w:r>
      <w:proofErr w:type="gramStart"/>
      <w:r>
        <w:t>F</w:t>
      </w:r>
      <w:proofErr w:type="gramEnd"/>
    </w:p>
    <w:p w14:paraId="2FBC2B22" w14:textId="77777777" w:rsidR="005E1946" w:rsidRPr="00130CAA" w:rsidRDefault="005E1946" w:rsidP="005E1946">
      <w:pPr>
        <w:pStyle w:val="BodyText"/>
      </w:pPr>
    </w:p>
    <w:p w14:paraId="1910380B" w14:textId="4396A689" w:rsidR="00EE14F4" w:rsidRPr="00E0659B" w:rsidRDefault="00572A18" w:rsidP="00EE14F4">
      <w:pPr>
        <w:pStyle w:val="ListParagraph"/>
        <w:numPr>
          <w:ilvl w:val="0"/>
          <w:numId w:val="2"/>
        </w:numPr>
        <w:rPr>
          <w:rFonts w:ascii="Arial" w:hAnsi="Arial" w:cs="Arial"/>
          <w:sz w:val="22"/>
          <w:szCs w:val="22"/>
        </w:rPr>
      </w:pPr>
      <w:r w:rsidRPr="00E0659B">
        <w:rPr>
          <w:rFonts w:ascii="Arial" w:hAnsi="Arial" w:cs="Arial"/>
          <w:sz w:val="22"/>
          <w:szCs w:val="22"/>
        </w:rPr>
        <w:t>(Set up &gt; Bulk operations</w:t>
      </w:r>
      <w:r w:rsidR="00130CAA" w:rsidRPr="00E0659B">
        <w:rPr>
          <w:rFonts w:ascii="Arial" w:hAnsi="Arial" w:cs="Arial"/>
          <w:sz w:val="22"/>
          <w:szCs w:val="22"/>
        </w:rPr>
        <w:t xml:space="preserve"> &gt; Repeat template replacement) </w:t>
      </w:r>
      <w:r w:rsidRPr="00E0659B">
        <w:rPr>
          <w:rFonts w:ascii="Arial" w:hAnsi="Arial" w:cs="Arial"/>
          <w:sz w:val="22"/>
          <w:szCs w:val="22"/>
        </w:rPr>
        <w:t>Read the warning that comes up with exact details for how this function works. Repeat templates are replaced with the same authorisation dates, problem linking etc</w:t>
      </w:r>
      <w:r w:rsidR="00D4094B">
        <w:rPr>
          <w:rFonts w:ascii="Arial" w:hAnsi="Arial" w:cs="Arial"/>
          <w:sz w:val="22"/>
          <w:szCs w:val="22"/>
        </w:rPr>
        <w:t>.</w:t>
      </w:r>
    </w:p>
    <w:p w14:paraId="1E42B0CD" w14:textId="77777777" w:rsidR="00EE14F4" w:rsidRDefault="00EE14F4" w:rsidP="00EE14F4">
      <w:pPr>
        <w:rPr>
          <w:rFonts w:ascii="Arial" w:hAnsi="Arial" w:cs="Arial"/>
          <w:sz w:val="22"/>
          <w:szCs w:val="22"/>
        </w:rPr>
      </w:pPr>
    </w:p>
    <w:p w14:paraId="7F8561CA" w14:textId="1803E816"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1 – Drug to be replace</w:t>
      </w:r>
      <w:r w:rsidR="005025F9" w:rsidRPr="00D4094B">
        <w:rPr>
          <w:rFonts w:ascii="Arial" w:hAnsi="Arial" w:cs="Arial"/>
          <w:sz w:val="22"/>
          <w:szCs w:val="22"/>
          <w:u w:val="single"/>
        </w:rPr>
        <w:t>d</w:t>
      </w:r>
      <w:r w:rsidR="007E4505" w:rsidRPr="00D4094B">
        <w:rPr>
          <w:rFonts w:ascii="Arial" w:hAnsi="Arial" w:cs="Arial"/>
          <w:sz w:val="22"/>
          <w:szCs w:val="22"/>
          <w:u w:val="single"/>
        </w:rPr>
        <w:t>:</w:t>
      </w:r>
    </w:p>
    <w:p w14:paraId="3B0580DD" w14:textId="77777777" w:rsidR="00572A18" w:rsidRPr="00130CAA" w:rsidRDefault="00572A18" w:rsidP="00572A18">
      <w:pPr>
        <w:pStyle w:val="BodyText"/>
        <w:ind w:left="360"/>
      </w:pPr>
    </w:p>
    <w:p w14:paraId="5D2D6923" w14:textId="4B70D9A8" w:rsidR="00572A18" w:rsidRPr="00F26A50" w:rsidRDefault="00572A18" w:rsidP="00572A18">
      <w:pPr>
        <w:pStyle w:val="ListParagraph"/>
        <w:numPr>
          <w:ilvl w:val="0"/>
          <w:numId w:val="1"/>
        </w:numPr>
        <w:rPr>
          <w:rFonts w:ascii="Arial" w:hAnsi="Arial" w:cs="Arial"/>
          <w:color w:val="000000" w:themeColor="text1"/>
          <w:sz w:val="22"/>
          <w:szCs w:val="22"/>
        </w:rPr>
      </w:pPr>
      <w:r w:rsidRPr="00F26A50">
        <w:rPr>
          <w:rFonts w:ascii="Arial" w:hAnsi="Arial" w:cs="Arial"/>
          <w:color w:val="000000" w:themeColor="text1"/>
          <w:sz w:val="22"/>
          <w:szCs w:val="22"/>
        </w:rPr>
        <w:t xml:space="preserve">Add </w:t>
      </w:r>
      <w:proofErr w:type="spellStart"/>
      <w:r w:rsidR="00730B24" w:rsidRPr="00F26A50">
        <w:rPr>
          <w:rFonts w:ascii="Arial" w:hAnsi="Arial" w:cs="Arial"/>
          <w:color w:val="000000" w:themeColor="text1"/>
          <w:sz w:val="22"/>
          <w:szCs w:val="22"/>
        </w:rPr>
        <w:t>Fostair</w:t>
      </w:r>
      <w:proofErr w:type="spellEnd"/>
      <w:r w:rsidR="00DF337D" w:rsidRPr="00F26A50">
        <w:rPr>
          <w:rFonts w:ascii="Arial" w:hAnsi="Arial" w:cs="Arial"/>
          <w:color w:val="000000" w:themeColor="text1"/>
          <w:sz w:val="22"/>
          <w:szCs w:val="22"/>
        </w:rPr>
        <w:t xml:space="preserve"> MDI</w:t>
      </w:r>
      <w:r w:rsidR="00730B24" w:rsidRPr="00F26A50">
        <w:rPr>
          <w:rFonts w:ascii="Arial" w:hAnsi="Arial" w:cs="Arial"/>
          <w:color w:val="000000" w:themeColor="text1"/>
          <w:sz w:val="22"/>
          <w:szCs w:val="22"/>
        </w:rPr>
        <w:t xml:space="preserve"> and strength</w:t>
      </w:r>
      <w:r w:rsidR="007E4505" w:rsidRPr="00F26A50">
        <w:rPr>
          <w:rFonts w:ascii="Arial" w:hAnsi="Arial" w:cs="Arial"/>
          <w:color w:val="000000" w:themeColor="text1"/>
          <w:sz w:val="22"/>
          <w:szCs w:val="22"/>
        </w:rPr>
        <w:t xml:space="preserve"> (either 100/6 or 200/6)</w:t>
      </w:r>
      <w:r w:rsidR="00730B24"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to outgoing drug section - choose ‘Formulary substitution’ as the reason for switch. The notes section can be used to add further information. This will appear in the administration section of the new repeat template. Add text ‘</w:t>
      </w:r>
      <w:proofErr w:type="spellStart"/>
      <w:r w:rsidR="00730B24" w:rsidRPr="00F26A50">
        <w:rPr>
          <w:rFonts w:ascii="Arial" w:hAnsi="Arial" w:cs="Arial"/>
          <w:color w:val="000000" w:themeColor="text1"/>
          <w:sz w:val="22"/>
          <w:szCs w:val="22"/>
        </w:rPr>
        <w:t>Fostair</w:t>
      </w:r>
      <w:proofErr w:type="spellEnd"/>
      <w:r w:rsidR="00730B24" w:rsidRPr="00F26A50">
        <w:rPr>
          <w:rFonts w:ascii="Arial" w:hAnsi="Arial" w:cs="Arial"/>
          <w:color w:val="000000" w:themeColor="text1"/>
          <w:sz w:val="22"/>
          <w:szCs w:val="22"/>
        </w:rPr>
        <w:t xml:space="preserve"> switch to </w:t>
      </w:r>
      <w:proofErr w:type="spellStart"/>
      <w:r w:rsidR="007E4505" w:rsidRPr="00F26A50">
        <w:rPr>
          <w:rFonts w:ascii="Arial" w:hAnsi="Arial" w:cs="Arial"/>
          <w:color w:val="000000" w:themeColor="text1"/>
          <w:sz w:val="22"/>
          <w:szCs w:val="22"/>
        </w:rPr>
        <w:t>L</w:t>
      </w:r>
      <w:r w:rsidR="00730B24" w:rsidRPr="00F26A50">
        <w:rPr>
          <w:rFonts w:ascii="Arial" w:hAnsi="Arial" w:cs="Arial"/>
          <w:color w:val="000000" w:themeColor="text1"/>
          <w:sz w:val="22"/>
          <w:szCs w:val="22"/>
        </w:rPr>
        <w:t>uforbec</w:t>
      </w:r>
      <w:proofErr w:type="spellEnd"/>
      <w:r w:rsidR="00730B24" w:rsidRPr="00F26A50">
        <w:rPr>
          <w:rFonts w:ascii="Arial" w:hAnsi="Arial" w:cs="Arial"/>
          <w:color w:val="000000" w:themeColor="text1"/>
          <w:sz w:val="22"/>
          <w:szCs w:val="22"/>
        </w:rPr>
        <w:t xml:space="preserve"> by practice’</w:t>
      </w:r>
      <w:r w:rsidR="00BD72DC" w:rsidRPr="00F26A50">
        <w:rPr>
          <w:rFonts w:ascii="Arial" w:hAnsi="Arial" w:cs="Arial"/>
          <w:color w:val="000000" w:themeColor="text1"/>
          <w:sz w:val="22"/>
          <w:szCs w:val="22"/>
        </w:rPr>
        <w:t xml:space="preserve"> </w:t>
      </w:r>
      <w:r w:rsidR="00BD72DC" w:rsidRPr="00F26A50">
        <w:rPr>
          <w:rFonts w:ascii="Arial" w:hAnsi="Arial" w:cs="Arial"/>
          <w:b/>
          <w:bCs/>
          <w:color w:val="000000" w:themeColor="text1"/>
          <w:sz w:val="22"/>
          <w:szCs w:val="22"/>
        </w:rPr>
        <w:t>or</w:t>
      </w:r>
      <w:r w:rsidR="00BD72DC" w:rsidRPr="00F26A50">
        <w:rPr>
          <w:rFonts w:ascii="Arial" w:hAnsi="Arial" w:cs="Arial"/>
          <w:color w:val="000000" w:themeColor="text1"/>
          <w:sz w:val="22"/>
          <w:szCs w:val="22"/>
        </w:rPr>
        <w:t xml:space="preserve"> ‘</w:t>
      </w:r>
      <w:proofErr w:type="spellStart"/>
      <w:r w:rsidR="00BD72DC" w:rsidRPr="00F26A50">
        <w:rPr>
          <w:rFonts w:ascii="Arial" w:hAnsi="Arial" w:cs="Arial"/>
          <w:color w:val="000000" w:themeColor="text1"/>
          <w:sz w:val="22"/>
          <w:szCs w:val="22"/>
        </w:rPr>
        <w:t>Fostair</w:t>
      </w:r>
      <w:proofErr w:type="spellEnd"/>
      <w:r w:rsidR="00BD72DC" w:rsidRPr="00F26A50">
        <w:rPr>
          <w:rFonts w:ascii="Arial" w:hAnsi="Arial" w:cs="Arial"/>
          <w:color w:val="000000" w:themeColor="text1"/>
          <w:sz w:val="22"/>
          <w:szCs w:val="22"/>
        </w:rPr>
        <w:t xml:space="preserve"> switch to </w:t>
      </w:r>
      <w:proofErr w:type="spellStart"/>
      <w:r w:rsidR="00BD72DC" w:rsidRPr="00F26A50">
        <w:rPr>
          <w:rFonts w:ascii="Arial" w:hAnsi="Arial" w:cs="Arial"/>
          <w:color w:val="000000" w:themeColor="text1"/>
          <w:sz w:val="22"/>
          <w:szCs w:val="22"/>
        </w:rPr>
        <w:t>Bibecfo</w:t>
      </w:r>
      <w:proofErr w:type="spellEnd"/>
      <w:r w:rsidR="00BD72DC" w:rsidRPr="00F26A50">
        <w:rPr>
          <w:rFonts w:ascii="Arial" w:hAnsi="Arial" w:cs="Arial"/>
          <w:color w:val="000000" w:themeColor="text1"/>
          <w:sz w:val="22"/>
          <w:szCs w:val="22"/>
        </w:rPr>
        <w:t xml:space="preserve"> by practice</w:t>
      </w:r>
      <w:r w:rsidR="00900C99" w:rsidRPr="00F26A50">
        <w:rPr>
          <w:rFonts w:ascii="Arial" w:hAnsi="Arial" w:cs="Arial"/>
          <w:color w:val="000000" w:themeColor="text1"/>
          <w:sz w:val="22"/>
          <w:szCs w:val="22"/>
        </w:rPr>
        <w:t>’ depending on which inhaler you are switching to.</w:t>
      </w:r>
    </w:p>
    <w:p w14:paraId="125EF7D7" w14:textId="77777777" w:rsidR="00DF337D" w:rsidRDefault="00DF337D" w:rsidP="00DF337D">
      <w:pPr>
        <w:pStyle w:val="ListParagraph"/>
        <w:rPr>
          <w:rFonts w:ascii="Arial" w:hAnsi="Arial" w:cs="Arial"/>
          <w:sz w:val="22"/>
          <w:szCs w:val="22"/>
        </w:rPr>
      </w:pPr>
    </w:p>
    <w:p w14:paraId="72E0F9B5" w14:textId="0965CF97" w:rsidR="00DF337D" w:rsidRPr="00130CAA" w:rsidRDefault="00DF337D" w:rsidP="00572A18">
      <w:pPr>
        <w:pStyle w:val="ListParagraph"/>
        <w:numPr>
          <w:ilvl w:val="0"/>
          <w:numId w:val="1"/>
        </w:numPr>
        <w:rPr>
          <w:rFonts w:ascii="Arial" w:hAnsi="Arial" w:cs="Arial"/>
          <w:sz w:val="22"/>
          <w:szCs w:val="22"/>
        </w:rPr>
      </w:pPr>
      <w:r>
        <w:rPr>
          <w:rFonts w:ascii="Arial" w:hAnsi="Arial" w:cs="Arial"/>
          <w:sz w:val="22"/>
          <w:szCs w:val="22"/>
        </w:rPr>
        <w:t xml:space="preserve">Each strength of </w:t>
      </w:r>
      <w:proofErr w:type="spellStart"/>
      <w:r>
        <w:rPr>
          <w:rFonts w:ascii="Arial" w:hAnsi="Arial" w:cs="Arial"/>
          <w:sz w:val="22"/>
          <w:szCs w:val="22"/>
        </w:rPr>
        <w:t>Fostair</w:t>
      </w:r>
      <w:proofErr w:type="spellEnd"/>
      <w:r>
        <w:rPr>
          <w:rFonts w:ascii="Arial" w:hAnsi="Arial" w:cs="Arial"/>
          <w:sz w:val="22"/>
          <w:szCs w:val="22"/>
        </w:rPr>
        <w:t xml:space="preserve"> MDI (100/6 or 200/6) will have to be bulk switched </w:t>
      </w:r>
      <w:proofErr w:type="gramStart"/>
      <w:r>
        <w:rPr>
          <w:rFonts w:ascii="Arial" w:hAnsi="Arial" w:cs="Arial"/>
          <w:sz w:val="22"/>
          <w:szCs w:val="22"/>
        </w:rPr>
        <w:t>separately</w:t>
      </w:r>
      <w:proofErr w:type="gramEnd"/>
    </w:p>
    <w:p w14:paraId="32274F2A" w14:textId="77777777" w:rsidR="00572A18" w:rsidRPr="00130CAA" w:rsidRDefault="00572A18" w:rsidP="00572A18">
      <w:pPr>
        <w:rPr>
          <w:rFonts w:ascii="Arial" w:hAnsi="Arial" w:cs="Arial"/>
          <w:sz w:val="22"/>
          <w:szCs w:val="22"/>
        </w:rPr>
      </w:pPr>
    </w:p>
    <w:p w14:paraId="2914C3DE" w14:textId="77777777" w:rsidR="00572A18" w:rsidRPr="00EE14F4" w:rsidRDefault="00572A18" w:rsidP="00EE14F4">
      <w:pPr>
        <w:pStyle w:val="ListParagraph"/>
        <w:numPr>
          <w:ilvl w:val="0"/>
          <w:numId w:val="1"/>
        </w:numPr>
        <w:rPr>
          <w:rFonts w:ascii="Arial" w:hAnsi="Arial" w:cs="Arial"/>
          <w:sz w:val="22"/>
          <w:szCs w:val="22"/>
        </w:rPr>
      </w:pPr>
      <w:r w:rsidRPr="00130CAA">
        <w:rPr>
          <w:rFonts w:ascii="Arial" w:hAnsi="Arial" w:cs="Arial"/>
          <w:sz w:val="22"/>
          <w:szCs w:val="22"/>
        </w:rPr>
        <w:t xml:space="preserve">Select Replacement applies to ‘a particular report’. Click on the red </w:t>
      </w:r>
      <w:r w:rsidR="00130CAA" w:rsidRPr="00130CAA">
        <w:rPr>
          <w:rFonts w:ascii="Arial" w:hAnsi="Arial" w:cs="Arial"/>
          <w:sz w:val="22"/>
          <w:szCs w:val="22"/>
        </w:rPr>
        <w:t xml:space="preserve">‘Select Clinical Report’ </w:t>
      </w:r>
      <w:r w:rsidRPr="00130CAA">
        <w:rPr>
          <w:rFonts w:ascii="Arial" w:hAnsi="Arial" w:cs="Arial"/>
          <w:sz w:val="22"/>
          <w:szCs w:val="22"/>
        </w:rPr>
        <w:t>icon next to this and select the correct report from the list</w:t>
      </w:r>
      <w:r w:rsidR="00130CAA" w:rsidRPr="00130CAA">
        <w:rPr>
          <w:rFonts w:ascii="Arial" w:hAnsi="Arial" w:cs="Arial"/>
          <w:sz w:val="22"/>
          <w:szCs w:val="22"/>
        </w:rPr>
        <w:t>. Make sure the report you need has been run that day otherwise you will not be able to proceed.</w:t>
      </w:r>
      <w:r w:rsidR="00EE14F4">
        <w:rPr>
          <w:rFonts w:ascii="Arial" w:hAnsi="Arial" w:cs="Arial"/>
          <w:sz w:val="22"/>
          <w:szCs w:val="22"/>
        </w:rPr>
        <w:t xml:space="preserve"> </w:t>
      </w:r>
      <w:r w:rsidRPr="00EE14F4">
        <w:rPr>
          <w:rFonts w:ascii="Arial" w:hAnsi="Arial" w:cs="Arial"/>
          <w:sz w:val="22"/>
          <w:szCs w:val="22"/>
        </w:rPr>
        <w:t>Select Continue</w:t>
      </w:r>
    </w:p>
    <w:p w14:paraId="641FFF06" w14:textId="77777777" w:rsidR="00EE14F4" w:rsidRPr="009E165F" w:rsidRDefault="00EE14F4" w:rsidP="009E165F">
      <w:pPr>
        <w:rPr>
          <w:rFonts w:ascii="Arial" w:hAnsi="Arial" w:cs="Arial"/>
          <w:sz w:val="22"/>
          <w:szCs w:val="22"/>
        </w:rPr>
      </w:pPr>
    </w:p>
    <w:p w14:paraId="3A876558" w14:textId="147DEAC6"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 xml:space="preserve">Step 2 </w:t>
      </w:r>
      <w:r w:rsidR="007E4505" w:rsidRPr="00D4094B">
        <w:rPr>
          <w:rFonts w:ascii="Arial" w:hAnsi="Arial" w:cs="Arial"/>
          <w:sz w:val="22"/>
          <w:szCs w:val="22"/>
          <w:u w:val="single"/>
        </w:rPr>
        <w:t>–</w:t>
      </w:r>
      <w:r w:rsidRPr="00D4094B">
        <w:rPr>
          <w:rFonts w:ascii="Arial" w:hAnsi="Arial" w:cs="Arial"/>
          <w:sz w:val="22"/>
          <w:szCs w:val="22"/>
          <w:u w:val="single"/>
        </w:rPr>
        <w:t xml:space="preserve"> Patients</w:t>
      </w:r>
      <w:r w:rsidR="007E4505" w:rsidRPr="00D4094B">
        <w:rPr>
          <w:rFonts w:ascii="Arial" w:hAnsi="Arial" w:cs="Arial"/>
          <w:sz w:val="22"/>
          <w:szCs w:val="22"/>
          <w:u w:val="single"/>
        </w:rPr>
        <w:t>:</w:t>
      </w:r>
    </w:p>
    <w:p w14:paraId="7747A47A" w14:textId="77777777" w:rsidR="00130CAA" w:rsidRPr="00130CAA" w:rsidRDefault="00130CAA" w:rsidP="00130CAA">
      <w:pPr>
        <w:pStyle w:val="ListParagraph"/>
        <w:rPr>
          <w:rFonts w:ascii="Arial" w:hAnsi="Arial" w:cs="Arial"/>
          <w:sz w:val="22"/>
          <w:szCs w:val="22"/>
        </w:rPr>
      </w:pPr>
    </w:p>
    <w:p w14:paraId="759632D7" w14:textId="16860EFB" w:rsidR="001332EF" w:rsidRPr="00656F64" w:rsidRDefault="00130CAA" w:rsidP="001332EF">
      <w:pPr>
        <w:pStyle w:val="ListParagraph"/>
        <w:numPr>
          <w:ilvl w:val="0"/>
          <w:numId w:val="1"/>
        </w:numPr>
        <w:rPr>
          <w:rFonts w:ascii="Arial" w:hAnsi="Arial" w:cs="Arial"/>
          <w:sz w:val="22"/>
          <w:szCs w:val="22"/>
        </w:rPr>
      </w:pPr>
      <w:r w:rsidRPr="00130CAA">
        <w:rPr>
          <w:rFonts w:ascii="Arial" w:hAnsi="Arial" w:cs="Arial"/>
          <w:sz w:val="22"/>
          <w:szCs w:val="22"/>
        </w:rPr>
        <w:t>A list will be produced of all patients in that search who are affected by the changes – this can be printed if needed.</w:t>
      </w:r>
      <w:r w:rsidR="00EE14F4">
        <w:rPr>
          <w:rFonts w:ascii="Arial" w:hAnsi="Arial" w:cs="Arial"/>
          <w:sz w:val="22"/>
          <w:szCs w:val="22"/>
        </w:rPr>
        <w:t xml:space="preserve"> </w:t>
      </w:r>
      <w:r w:rsidRPr="00EE14F4">
        <w:rPr>
          <w:rFonts w:ascii="Arial" w:hAnsi="Arial" w:cs="Arial"/>
          <w:sz w:val="22"/>
          <w:szCs w:val="22"/>
        </w:rPr>
        <w:t>Select Continue</w:t>
      </w:r>
    </w:p>
    <w:p w14:paraId="7F8AC8FB" w14:textId="77777777" w:rsidR="00EE14F4" w:rsidRPr="009E165F" w:rsidRDefault="00EE14F4" w:rsidP="009E165F">
      <w:pPr>
        <w:rPr>
          <w:rFonts w:ascii="Arial" w:hAnsi="Arial" w:cs="Arial"/>
          <w:sz w:val="22"/>
          <w:szCs w:val="22"/>
        </w:rPr>
      </w:pPr>
    </w:p>
    <w:p w14:paraId="0A4D3D39" w14:textId="77777777"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3 - Replacement</w:t>
      </w:r>
    </w:p>
    <w:p w14:paraId="503266E2" w14:textId="77777777" w:rsidR="00130CAA" w:rsidRPr="00130CAA" w:rsidRDefault="00130CAA" w:rsidP="00130CAA">
      <w:pPr>
        <w:pStyle w:val="ListParagraph"/>
        <w:rPr>
          <w:rFonts w:ascii="Arial" w:hAnsi="Arial" w:cs="Arial"/>
          <w:sz w:val="22"/>
          <w:szCs w:val="22"/>
        </w:rPr>
      </w:pPr>
    </w:p>
    <w:p w14:paraId="38A1C844" w14:textId="5C22D8E6" w:rsidR="00572A18" w:rsidRPr="00F26A50" w:rsidRDefault="00130CAA" w:rsidP="00EE14F4">
      <w:pPr>
        <w:pStyle w:val="ListParagraph"/>
        <w:numPr>
          <w:ilvl w:val="0"/>
          <w:numId w:val="1"/>
        </w:numPr>
        <w:rPr>
          <w:rFonts w:ascii="Arial" w:hAnsi="Arial" w:cs="Arial"/>
          <w:color w:val="000000" w:themeColor="text1"/>
          <w:sz w:val="22"/>
          <w:szCs w:val="22"/>
        </w:rPr>
      </w:pPr>
      <w:r w:rsidRPr="00F26A50">
        <w:rPr>
          <w:rFonts w:ascii="Arial" w:hAnsi="Arial" w:cs="Arial"/>
          <w:color w:val="000000" w:themeColor="text1"/>
          <w:sz w:val="22"/>
          <w:szCs w:val="22"/>
        </w:rPr>
        <w:t xml:space="preserve">Enter </w:t>
      </w:r>
      <w:proofErr w:type="spellStart"/>
      <w:r w:rsidR="00730B24" w:rsidRPr="00F26A50">
        <w:rPr>
          <w:rFonts w:ascii="Arial" w:hAnsi="Arial" w:cs="Arial"/>
          <w:color w:val="000000" w:themeColor="text1"/>
          <w:sz w:val="22"/>
          <w:szCs w:val="22"/>
        </w:rPr>
        <w:t>Luforbec</w:t>
      </w:r>
      <w:proofErr w:type="spellEnd"/>
      <w:r w:rsidR="00730B24" w:rsidRPr="00F26A50">
        <w:rPr>
          <w:rFonts w:ascii="Arial" w:hAnsi="Arial" w:cs="Arial"/>
          <w:color w:val="000000" w:themeColor="text1"/>
          <w:sz w:val="22"/>
          <w:szCs w:val="22"/>
        </w:rPr>
        <w:t xml:space="preserve"> </w:t>
      </w:r>
      <w:r w:rsidR="00DF337D" w:rsidRPr="00F26A50">
        <w:rPr>
          <w:rFonts w:ascii="Arial" w:hAnsi="Arial" w:cs="Arial"/>
          <w:color w:val="000000" w:themeColor="text1"/>
          <w:sz w:val="22"/>
          <w:szCs w:val="22"/>
        </w:rPr>
        <w:t xml:space="preserve">MDI </w:t>
      </w:r>
      <w:r w:rsidR="006114AA" w:rsidRPr="00F26A50">
        <w:rPr>
          <w:rFonts w:ascii="Arial" w:hAnsi="Arial" w:cs="Arial"/>
          <w:color w:val="000000" w:themeColor="text1"/>
          <w:sz w:val="22"/>
          <w:szCs w:val="22"/>
        </w:rPr>
        <w:t xml:space="preserve">(or </w:t>
      </w:r>
      <w:proofErr w:type="spellStart"/>
      <w:r w:rsidR="006114AA" w:rsidRPr="00F26A50">
        <w:rPr>
          <w:rFonts w:ascii="Arial" w:hAnsi="Arial" w:cs="Arial"/>
          <w:color w:val="000000" w:themeColor="text1"/>
          <w:sz w:val="22"/>
          <w:szCs w:val="22"/>
        </w:rPr>
        <w:t>Bibecfo</w:t>
      </w:r>
      <w:proofErr w:type="spellEnd"/>
      <w:r w:rsidR="006114AA" w:rsidRPr="00F26A50">
        <w:rPr>
          <w:rFonts w:ascii="Arial" w:hAnsi="Arial" w:cs="Arial"/>
          <w:color w:val="000000" w:themeColor="text1"/>
          <w:sz w:val="22"/>
          <w:szCs w:val="22"/>
        </w:rPr>
        <w:t xml:space="preserve"> MDI), </w:t>
      </w:r>
      <w:r w:rsidR="00DF337D" w:rsidRPr="00F26A50">
        <w:rPr>
          <w:rFonts w:ascii="Arial" w:hAnsi="Arial" w:cs="Arial"/>
          <w:color w:val="000000" w:themeColor="text1"/>
          <w:sz w:val="22"/>
          <w:szCs w:val="22"/>
        </w:rPr>
        <w:t>ensuring the correct strength (either 100/6 or 200/6 has been selected)</w:t>
      </w:r>
      <w:r w:rsidR="00730B24"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 xml:space="preserve">into the replacement drug box. Click each pencil icon in the list to map the </w:t>
      </w:r>
      <w:proofErr w:type="spellStart"/>
      <w:r w:rsidR="00730B24" w:rsidRPr="00F26A50">
        <w:rPr>
          <w:rFonts w:ascii="Arial" w:hAnsi="Arial" w:cs="Arial"/>
          <w:color w:val="000000" w:themeColor="text1"/>
          <w:sz w:val="22"/>
          <w:szCs w:val="22"/>
        </w:rPr>
        <w:t>Luforbec</w:t>
      </w:r>
      <w:proofErr w:type="spellEnd"/>
      <w:r w:rsidR="006114AA" w:rsidRPr="00F26A50">
        <w:rPr>
          <w:rFonts w:ascii="Arial" w:hAnsi="Arial" w:cs="Arial"/>
          <w:color w:val="000000" w:themeColor="text1"/>
          <w:sz w:val="22"/>
          <w:szCs w:val="22"/>
        </w:rPr>
        <w:t xml:space="preserve"> MDI</w:t>
      </w:r>
      <w:r w:rsidRPr="00F26A50">
        <w:rPr>
          <w:rFonts w:ascii="Arial" w:hAnsi="Arial" w:cs="Arial"/>
          <w:color w:val="000000" w:themeColor="text1"/>
          <w:sz w:val="22"/>
          <w:szCs w:val="22"/>
        </w:rPr>
        <w:t xml:space="preserve"> </w:t>
      </w:r>
      <w:r w:rsidR="006114AA" w:rsidRPr="00F26A50">
        <w:rPr>
          <w:rFonts w:ascii="Arial" w:hAnsi="Arial" w:cs="Arial"/>
          <w:color w:val="000000" w:themeColor="text1"/>
          <w:sz w:val="22"/>
          <w:szCs w:val="22"/>
        </w:rPr>
        <w:t xml:space="preserve">(or </w:t>
      </w:r>
      <w:proofErr w:type="spellStart"/>
      <w:r w:rsidR="006114AA" w:rsidRPr="00F26A50">
        <w:rPr>
          <w:rFonts w:ascii="Arial" w:hAnsi="Arial" w:cs="Arial"/>
          <w:color w:val="000000" w:themeColor="text1"/>
          <w:sz w:val="22"/>
          <w:szCs w:val="22"/>
        </w:rPr>
        <w:t>Bibecfo</w:t>
      </w:r>
      <w:proofErr w:type="spellEnd"/>
      <w:r w:rsidR="006114AA" w:rsidRPr="00F26A50">
        <w:rPr>
          <w:rFonts w:ascii="Arial" w:hAnsi="Arial" w:cs="Arial"/>
          <w:color w:val="000000" w:themeColor="text1"/>
          <w:sz w:val="22"/>
          <w:szCs w:val="22"/>
        </w:rPr>
        <w:t xml:space="preserve"> </w:t>
      </w:r>
      <w:r w:rsidR="00DF337D" w:rsidRPr="00F26A50">
        <w:rPr>
          <w:rFonts w:ascii="Arial" w:hAnsi="Arial" w:cs="Arial"/>
          <w:color w:val="000000" w:themeColor="text1"/>
          <w:sz w:val="22"/>
          <w:szCs w:val="22"/>
        </w:rPr>
        <w:t>MDI</w:t>
      </w:r>
      <w:r w:rsidR="006114AA" w:rsidRPr="00F26A50">
        <w:rPr>
          <w:rFonts w:ascii="Arial" w:hAnsi="Arial" w:cs="Arial"/>
          <w:color w:val="000000" w:themeColor="text1"/>
          <w:sz w:val="22"/>
          <w:szCs w:val="22"/>
        </w:rPr>
        <w:t>)</w:t>
      </w:r>
      <w:r w:rsidR="00DF337D"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we will be switching to.</w:t>
      </w:r>
      <w:r w:rsidR="00DF337D"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Select</w:t>
      </w:r>
      <w:r w:rsidR="00F26A50"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Continue</w:t>
      </w:r>
    </w:p>
    <w:p w14:paraId="6D353EED" w14:textId="77777777" w:rsidR="006114AA" w:rsidRDefault="006114AA" w:rsidP="00EE14F4">
      <w:pPr>
        <w:rPr>
          <w:rFonts w:ascii="Arial" w:hAnsi="Arial" w:cs="Arial"/>
          <w:sz w:val="22"/>
          <w:szCs w:val="22"/>
          <w:u w:val="single"/>
        </w:rPr>
      </w:pPr>
    </w:p>
    <w:p w14:paraId="7A51B6B4" w14:textId="5C84C98E"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4 – Doses and Quantities</w:t>
      </w:r>
      <w:r w:rsidR="007E4505" w:rsidRPr="00D4094B">
        <w:rPr>
          <w:rFonts w:ascii="Arial" w:hAnsi="Arial" w:cs="Arial"/>
          <w:sz w:val="22"/>
          <w:szCs w:val="22"/>
          <w:u w:val="single"/>
        </w:rPr>
        <w:t>:</w:t>
      </w:r>
    </w:p>
    <w:p w14:paraId="2BDB1798" w14:textId="77777777" w:rsidR="00130CAA" w:rsidRPr="00130CAA" w:rsidRDefault="00130CAA" w:rsidP="00130CAA">
      <w:pPr>
        <w:pStyle w:val="ListParagraph"/>
        <w:rPr>
          <w:rFonts w:ascii="Arial" w:hAnsi="Arial" w:cs="Arial"/>
          <w:sz w:val="22"/>
          <w:szCs w:val="22"/>
        </w:rPr>
      </w:pPr>
    </w:p>
    <w:p w14:paraId="0F24F3F8" w14:textId="330081F1" w:rsidR="00130CAA" w:rsidRDefault="00130CAA" w:rsidP="00572A18">
      <w:pPr>
        <w:pStyle w:val="ListParagraph"/>
        <w:numPr>
          <w:ilvl w:val="0"/>
          <w:numId w:val="1"/>
        </w:numPr>
        <w:rPr>
          <w:rFonts w:ascii="Arial" w:hAnsi="Arial" w:cs="Arial"/>
          <w:sz w:val="22"/>
          <w:szCs w:val="22"/>
        </w:rPr>
      </w:pPr>
      <w:r>
        <w:rPr>
          <w:rFonts w:ascii="Arial" w:hAnsi="Arial" w:cs="Arial"/>
          <w:sz w:val="22"/>
          <w:szCs w:val="22"/>
        </w:rPr>
        <w:t xml:space="preserve">In the Doses section double click on each dose keeping the same direction but adding the text ‘This is </w:t>
      </w:r>
      <w:r w:rsidR="00730B24">
        <w:rPr>
          <w:rFonts w:ascii="Arial" w:hAnsi="Arial" w:cs="Arial"/>
          <w:sz w:val="22"/>
          <w:szCs w:val="22"/>
        </w:rPr>
        <w:t xml:space="preserve">the same as </w:t>
      </w:r>
      <w:proofErr w:type="spellStart"/>
      <w:r w:rsidR="00730B24">
        <w:rPr>
          <w:rFonts w:ascii="Arial" w:hAnsi="Arial" w:cs="Arial"/>
          <w:sz w:val="22"/>
          <w:szCs w:val="22"/>
        </w:rPr>
        <w:t>Fostair</w:t>
      </w:r>
      <w:proofErr w:type="spellEnd"/>
      <w:r w:rsidR="00DF337D">
        <w:rPr>
          <w:rFonts w:ascii="Arial" w:hAnsi="Arial" w:cs="Arial"/>
          <w:sz w:val="22"/>
          <w:szCs w:val="22"/>
        </w:rPr>
        <w:t xml:space="preserve"> </w:t>
      </w:r>
      <w:r w:rsidR="003D1FBE">
        <w:rPr>
          <w:rFonts w:ascii="Arial" w:hAnsi="Arial" w:cs="Arial"/>
          <w:sz w:val="22"/>
          <w:szCs w:val="22"/>
        </w:rPr>
        <w:t>Inhaler</w:t>
      </w:r>
      <w:r w:rsidR="00730B24">
        <w:rPr>
          <w:rFonts w:ascii="Arial" w:hAnsi="Arial" w:cs="Arial"/>
          <w:sz w:val="22"/>
          <w:szCs w:val="22"/>
        </w:rPr>
        <w:t>’</w:t>
      </w:r>
      <w:r>
        <w:rPr>
          <w:rFonts w:ascii="Arial" w:hAnsi="Arial" w:cs="Arial"/>
          <w:sz w:val="22"/>
          <w:szCs w:val="22"/>
        </w:rPr>
        <w:t xml:space="preserve"> to the end of the directions</w:t>
      </w:r>
    </w:p>
    <w:p w14:paraId="17B02B17" w14:textId="77777777" w:rsidR="00130CAA" w:rsidRPr="00130CAA" w:rsidRDefault="00130CAA" w:rsidP="00130CAA">
      <w:pPr>
        <w:pStyle w:val="ListParagraph"/>
        <w:rPr>
          <w:rFonts w:ascii="Arial" w:hAnsi="Arial" w:cs="Arial"/>
          <w:sz w:val="22"/>
          <w:szCs w:val="22"/>
        </w:rPr>
      </w:pPr>
    </w:p>
    <w:p w14:paraId="5C71DB75" w14:textId="65887E8F" w:rsidR="00130CAA" w:rsidRPr="00F26A50" w:rsidRDefault="00130CAA" w:rsidP="00572A18">
      <w:pPr>
        <w:pStyle w:val="ListParagraph"/>
        <w:numPr>
          <w:ilvl w:val="0"/>
          <w:numId w:val="1"/>
        </w:numPr>
        <w:rPr>
          <w:rFonts w:ascii="Arial" w:hAnsi="Arial" w:cs="Arial"/>
          <w:color w:val="000000" w:themeColor="text1"/>
          <w:sz w:val="22"/>
          <w:szCs w:val="22"/>
        </w:rPr>
      </w:pPr>
      <w:r>
        <w:rPr>
          <w:rFonts w:ascii="Arial" w:hAnsi="Arial" w:cs="Arial"/>
          <w:sz w:val="22"/>
          <w:szCs w:val="22"/>
        </w:rPr>
        <w:t>In the Quantities section double click onto each quantity and select the same quantity for the</w:t>
      </w:r>
      <w:r w:rsidR="00730B24">
        <w:rPr>
          <w:rFonts w:ascii="Arial" w:hAnsi="Arial" w:cs="Arial"/>
          <w:sz w:val="22"/>
          <w:szCs w:val="22"/>
        </w:rPr>
        <w:t xml:space="preserve"> </w:t>
      </w:r>
      <w:proofErr w:type="spellStart"/>
      <w:r w:rsidR="00730B24" w:rsidRPr="00F26A50">
        <w:rPr>
          <w:rFonts w:ascii="Arial" w:hAnsi="Arial" w:cs="Arial"/>
          <w:color w:val="000000" w:themeColor="text1"/>
          <w:sz w:val="22"/>
          <w:szCs w:val="22"/>
        </w:rPr>
        <w:t>Luforbec</w:t>
      </w:r>
      <w:proofErr w:type="spellEnd"/>
      <w:r w:rsidR="00DF337D" w:rsidRPr="00F26A50">
        <w:rPr>
          <w:rFonts w:ascii="Arial" w:hAnsi="Arial" w:cs="Arial"/>
          <w:color w:val="000000" w:themeColor="text1"/>
          <w:sz w:val="22"/>
          <w:szCs w:val="22"/>
        </w:rPr>
        <w:t xml:space="preserve"> MDI </w:t>
      </w:r>
      <w:r w:rsidR="006114AA" w:rsidRPr="00F26A50">
        <w:rPr>
          <w:rFonts w:ascii="Arial" w:hAnsi="Arial" w:cs="Arial"/>
          <w:color w:val="000000" w:themeColor="text1"/>
          <w:sz w:val="22"/>
          <w:szCs w:val="22"/>
        </w:rPr>
        <w:t xml:space="preserve">(or </w:t>
      </w:r>
      <w:proofErr w:type="spellStart"/>
      <w:r w:rsidR="006114AA" w:rsidRPr="00F26A50">
        <w:rPr>
          <w:rFonts w:ascii="Arial" w:hAnsi="Arial" w:cs="Arial"/>
          <w:color w:val="000000" w:themeColor="text1"/>
          <w:sz w:val="22"/>
          <w:szCs w:val="22"/>
        </w:rPr>
        <w:t>Bibecfo</w:t>
      </w:r>
      <w:proofErr w:type="spellEnd"/>
      <w:r w:rsidR="006114AA" w:rsidRPr="00F26A50">
        <w:rPr>
          <w:rFonts w:ascii="Arial" w:hAnsi="Arial" w:cs="Arial"/>
          <w:color w:val="000000" w:themeColor="text1"/>
          <w:sz w:val="22"/>
          <w:szCs w:val="22"/>
        </w:rPr>
        <w:t xml:space="preserve"> MDI) </w:t>
      </w:r>
      <w:r w:rsidR="00DF337D" w:rsidRPr="00F26A50">
        <w:rPr>
          <w:rFonts w:ascii="Arial" w:hAnsi="Arial" w:cs="Arial"/>
          <w:color w:val="000000" w:themeColor="text1"/>
          <w:sz w:val="22"/>
          <w:szCs w:val="22"/>
        </w:rPr>
        <w:t>(120 doses)</w:t>
      </w:r>
    </w:p>
    <w:p w14:paraId="16FD09FF" w14:textId="77777777" w:rsidR="00572A18" w:rsidRPr="00F26A50" w:rsidRDefault="00572A18" w:rsidP="00572A18">
      <w:pPr>
        <w:pStyle w:val="ListParagraph"/>
        <w:rPr>
          <w:rFonts w:ascii="Arial" w:hAnsi="Arial" w:cs="Arial"/>
          <w:color w:val="000000" w:themeColor="text1"/>
          <w:sz w:val="22"/>
          <w:szCs w:val="22"/>
        </w:rPr>
      </w:pPr>
    </w:p>
    <w:p w14:paraId="23914E55" w14:textId="5D4939DE" w:rsidR="00071D3C" w:rsidRPr="005E1946" w:rsidRDefault="00EE14F4" w:rsidP="00EE14F4">
      <w:pPr>
        <w:pStyle w:val="ListParagraph"/>
        <w:numPr>
          <w:ilvl w:val="0"/>
          <w:numId w:val="1"/>
        </w:numPr>
        <w:rPr>
          <w:sz w:val="22"/>
          <w:szCs w:val="22"/>
        </w:rPr>
      </w:pPr>
      <w:r>
        <w:rPr>
          <w:rFonts w:ascii="Arial" w:hAnsi="Arial" w:cs="Arial"/>
          <w:sz w:val="22"/>
          <w:szCs w:val="22"/>
        </w:rPr>
        <w:t>Select Continue</w:t>
      </w:r>
    </w:p>
    <w:p w14:paraId="20455B7E" w14:textId="77777777" w:rsidR="00071D3C" w:rsidRDefault="00071D3C" w:rsidP="00EE14F4">
      <w:pPr>
        <w:rPr>
          <w:rFonts w:ascii="Arial" w:hAnsi="Arial" w:cs="Arial"/>
          <w:sz w:val="22"/>
          <w:szCs w:val="22"/>
        </w:rPr>
      </w:pPr>
    </w:p>
    <w:p w14:paraId="00350E04" w14:textId="77777777" w:rsidR="00071D3C" w:rsidRDefault="00071D3C" w:rsidP="00EE14F4">
      <w:pPr>
        <w:rPr>
          <w:rFonts w:ascii="Arial" w:hAnsi="Arial" w:cs="Arial"/>
          <w:sz w:val="22"/>
          <w:szCs w:val="22"/>
        </w:rPr>
      </w:pPr>
    </w:p>
    <w:p w14:paraId="2E45C508" w14:textId="5729F8A7"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5 – Confirmation</w:t>
      </w:r>
      <w:r w:rsidR="007E4505" w:rsidRPr="00D4094B">
        <w:rPr>
          <w:rFonts w:ascii="Arial" w:hAnsi="Arial" w:cs="Arial"/>
          <w:sz w:val="22"/>
          <w:szCs w:val="22"/>
          <w:u w:val="single"/>
        </w:rPr>
        <w:t>:</w:t>
      </w:r>
    </w:p>
    <w:p w14:paraId="45A487F1" w14:textId="77777777" w:rsidR="00EE14F4" w:rsidRDefault="00EE14F4" w:rsidP="00EE14F4">
      <w:pPr>
        <w:rPr>
          <w:rFonts w:ascii="Arial" w:hAnsi="Arial" w:cs="Arial"/>
          <w:sz w:val="22"/>
          <w:szCs w:val="22"/>
        </w:rPr>
      </w:pPr>
    </w:p>
    <w:p w14:paraId="53FFFFB1" w14:textId="77777777" w:rsidR="00EE14F4" w:rsidRPr="00EE14F4" w:rsidRDefault="00EE14F4" w:rsidP="00EE14F4">
      <w:pPr>
        <w:pStyle w:val="ListParagraph"/>
        <w:numPr>
          <w:ilvl w:val="0"/>
          <w:numId w:val="4"/>
        </w:numPr>
        <w:rPr>
          <w:rFonts w:ascii="Arial" w:hAnsi="Arial" w:cs="Arial"/>
          <w:sz w:val="22"/>
          <w:szCs w:val="22"/>
        </w:rPr>
      </w:pPr>
      <w:r w:rsidRPr="00F407F9">
        <w:rPr>
          <w:rFonts w:ascii="Arial" w:hAnsi="Arial" w:cs="Arial"/>
          <w:sz w:val="22"/>
          <w:szCs w:val="22"/>
        </w:rPr>
        <w:t>Read the summary of what is to be switched and double check all details carefully. Then press RUN to confirm. The switch is usually carried out at 7pm the same evening</w:t>
      </w:r>
      <w:r>
        <w:rPr>
          <w:rFonts w:ascii="Arial" w:hAnsi="Arial" w:cs="Arial"/>
          <w:sz w:val="22"/>
          <w:szCs w:val="22"/>
        </w:rPr>
        <w:t>. Press Close.</w:t>
      </w:r>
    </w:p>
    <w:p w14:paraId="1F010CA8" w14:textId="77777777" w:rsidR="00572A18" w:rsidRPr="00F407F9" w:rsidRDefault="00572A18" w:rsidP="00572A18">
      <w:pPr>
        <w:rPr>
          <w:rFonts w:ascii="Arial" w:hAnsi="Arial" w:cs="Arial"/>
          <w:sz w:val="22"/>
          <w:szCs w:val="22"/>
        </w:rPr>
      </w:pPr>
    </w:p>
    <w:p w14:paraId="064F5D54" w14:textId="77777777" w:rsidR="00572A18" w:rsidRPr="00F407F9" w:rsidRDefault="00572A18" w:rsidP="00572A18">
      <w:pPr>
        <w:pStyle w:val="BodyText"/>
      </w:pPr>
    </w:p>
    <w:p w14:paraId="2DBC2041" w14:textId="7278559B" w:rsidR="001C5B8B" w:rsidRDefault="00572A18" w:rsidP="00572A18">
      <w:pPr>
        <w:pStyle w:val="BodyText"/>
      </w:pPr>
      <w:r w:rsidRPr="00F407F9">
        <w:t xml:space="preserve">Ensure that patients who are being </w:t>
      </w:r>
      <w:r w:rsidRPr="00F407F9">
        <w:rPr>
          <w:bCs/>
          <w:iCs/>
        </w:rPr>
        <w:t xml:space="preserve">switched </w:t>
      </w:r>
      <w:r w:rsidRPr="00F407F9">
        <w:t>are being contacted in the relevant manner (see practice agreement</w:t>
      </w:r>
      <w:r w:rsidR="00730B24">
        <w:t xml:space="preserve"> and leaflet available</w:t>
      </w:r>
      <w:r w:rsidRPr="00F407F9">
        <w:t xml:space="preserve">). </w:t>
      </w:r>
    </w:p>
    <w:p w14:paraId="252E350E" w14:textId="77777777" w:rsidR="001C5B8B" w:rsidRDefault="001C5B8B" w:rsidP="00572A18">
      <w:pPr>
        <w:pStyle w:val="BodyText"/>
      </w:pPr>
    </w:p>
    <w:p w14:paraId="78B632F3" w14:textId="77777777" w:rsidR="00572A18" w:rsidRDefault="00572A18" w:rsidP="00572A18">
      <w:pPr>
        <w:pStyle w:val="BodyText"/>
      </w:pPr>
      <w:r w:rsidRPr="00F407F9">
        <w:t xml:space="preserve">One option is to add a one-off message to each prescription; this can be done for up to 100 patients at a time. </w:t>
      </w:r>
      <w:r w:rsidR="00EE14F4">
        <w:t>You can do this via your search in Clinical Reporting.</w:t>
      </w:r>
    </w:p>
    <w:p w14:paraId="00CD7E74" w14:textId="77777777" w:rsidR="001C5B8B" w:rsidRDefault="001C5B8B" w:rsidP="00572A18">
      <w:pPr>
        <w:pStyle w:val="BodyText"/>
      </w:pPr>
    </w:p>
    <w:p w14:paraId="6678EA73" w14:textId="23B8E0DA" w:rsidR="001C5B8B" w:rsidRPr="0052564F" w:rsidRDefault="001C5B8B" w:rsidP="00572A18">
      <w:pPr>
        <w:pStyle w:val="BodyText"/>
        <w:rPr>
          <w:color w:val="FF0000"/>
        </w:rPr>
      </w:pPr>
      <w:r>
        <w:t xml:space="preserve">One option is to inform them by letter. Letters can be sent in bulk via the </w:t>
      </w:r>
      <w:proofErr w:type="spellStart"/>
      <w:r>
        <w:t>MailMerge</w:t>
      </w:r>
      <w:proofErr w:type="spellEnd"/>
      <w:r>
        <w:t xml:space="preserve"> tool if needed.</w:t>
      </w:r>
      <w:r w:rsidR="007E4505">
        <w:t xml:space="preserve"> </w:t>
      </w:r>
      <w:r w:rsidR="007E4505" w:rsidRPr="005E1946">
        <w:t>See sample letter attached</w:t>
      </w:r>
      <w:r w:rsidR="0052564F" w:rsidRPr="005E1946">
        <w:t xml:space="preserve"> in the Prescriber Pack.</w:t>
      </w:r>
    </w:p>
    <w:p w14:paraId="47C73477" w14:textId="77777777" w:rsidR="00572A18" w:rsidRPr="00F407F9" w:rsidRDefault="00572A18" w:rsidP="00572A18">
      <w:pPr>
        <w:pStyle w:val="BodyText"/>
      </w:pPr>
    </w:p>
    <w:p w14:paraId="74864B0E" w14:textId="353FFAE7" w:rsidR="007E4505" w:rsidRDefault="00572A18" w:rsidP="00572A18">
      <w:pPr>
        <w:pStyle w:val="BodyText"/>
      </w:pPr>
      <w:r w:rsidRPr="00F407F9">
        <w:t>A read code can also be added in bulk for up to 100 patients at a time by right clicking on your selected patients and selecting add diagnosis. A suggested read code for this is</w:t>
      </w:r>
      <w:r w:rsidR="007E4505">
        <w:t>:</w:t>
      </w:r>
    </w:p>
    <w:p w14:paraId="0F6EE123" w14:textId="77777777" w:rsidR="007E4505" w:rsidRDefault="007E4505" w:rsidP="00572A18">
      <w:pPr>
        <w:pStyle w:val="BodyText"/>
      </w:pPr>
    </w:p>
    <w:p w14:paraId="403493BF" w14:textId="0D657C34" w:rsidR="00572A18" w:rsidRDefault="007E4505" w:rsidP="00572A18">
      <w:pPr>
        <w:pStyle w:val="BodyText"/>
        <w:rPr>
          <w:b/>
          <w:bCs/>
        </w:rPr>
      </w:pPr>
      <w:r w:rsidRPr="00DF337D">
        <w:rPr>
          <w:b/>
          <w:bCs/>
        </w:rPr>
        <w:t>“D</w:t>
      </w:r>
      <w:r w:rsidR="00572A18" w:rsidRPr="00DF337D">
        <w:rPr>
          <w:b/>
          <w:bCs/>
        </w:rPr>
        <w:t>rug changed to cost effective alternative</w:t>
      </w:r>
      <w:r w:rsidRPr="00DF337D">
        <w:rPr>
          <w:b/>
          <w:bCs/>
        </w:rPr>
        <w:t xml:space="preserve"> (</w:t>
      </w:r>
      <w:proofErr w:type="spellStart"/>
      <w:r w:rsidRPr="00DF337D">
        <w:rPr>
          <w:b/>
          <w:bCs/>
        </w:rPr>
        <w:t>XaJKo</w:t>
      </w:r>
      <w:proofErr w:type="spellEnd"/>
      <w:r w:rsidRPr="00DF337D">
        <w:rPr>
          <w:b/>
          <w:bCs/>
        </w:rPr>
        <w:t>)”</w:t>
      </w:r>
    </w:p>
    <w:p w14:paraId="2EC0AB1A" w14:textId="77777777" w:rsidR="00A248B9" w:rsidRDefault="00A248B9" w:rsidP="00572A18">
      <w:pPr>
        <w:pStyle w:val="BodyText"/>
        <w:rPr>
          <w:b/>
          <w:bCs/>
        </w:rPr>
      </w:pPr>
    </w:p>
    <w:p w14:paraId="759661FB" w14:textId="77777777" w:rsidR="00A248B9" w:rsidRDefault="00A248B9" w:rsidP="00572A18">
      <w:pPr>
        <w:pStyle w:val="BodyText"/>
        <w:rPr>
          <w:b/>
          <w:bCs/>
        </w:rPr>
      </w:pPr>
    </w:p>
    <w:p w14:paraId="0132B660" w14:textId="77777777" w:rsidR="009E165F" w:rsidRDefault="009E165F" w:rsidP="00572A18">
      <w:pPr>
        <w:pStyle w:val="BodyText"/>
        <w:rPr>
          <w:b/>
          <w:bCs/>
        </w:rPr>
      </w:pPr>
    </w:p>
    <w:p w14:paraId="39284FFD" w14:textId="5DB63B1F" w:rsidR="00A248B9" w:rsidRPr="009E165F" w:rsidRDefault="009E165F" w:rsidP="00572A18">
      <w:pPr>
        <w:pStyle w:val="BodyText"/>
        <w:rPr>
          <w:b/>
          <w:bCs/>
          <w:sz w:val="20"/>
          <w:szCs w:val="20"/>
        </w:rPr>
      </w:pPr>
      <w:proofErr w:type="spellStart"/>
      <w:r w:rsidRPr="009E165F">
        <w:rPr>
          <w:b/>
          <w:bCs/>
          <w:sz w:val="20"/>
          <w:szCs w:val="20"/>
        </w:rPr>
        <w:t>Dislaimer</w:t>
      </w:r>
      <w:proofErr w:type="spellEnd"/>
    </w:p>
    <w:p w14:paraId="16DC3413" w14:textId="77777777" w:rsidR="00A248B9" w:rsidRDefault="00A248B9" w:rsidP="00572A18">
      <w:pPr>
        <w:pStyle w:val="BodyText"/>
        <w:rPr>
          <w:b/>
          <w:bCs/>
        </w:rPr>
      </w:pPr>
    </w:p>
    <w:p w14:paraId="7A6756F9" w14:textId="0F3EE5D0" w:rsidR="00A248B9" w:rsidRPr="00A248B9" w:rsidRDefault="00A248B9" w:rsidP="00A248B9">
      <w:pPr>
        <w:pStyle w:val="BodyText"/>
        <w:rPr>
          <w:i/>
          <w:iCs/>
          <w:sz w:val="20"/>
          <w:szCs w:val="20"/>
        </w:rPr>
      </w:pPr>
      <w:r w:rsidRPr="00A248B9">
        <w:rPr>
          <w:i/>
          <w:iCs/>
          <w:sz w:val="20"/>
          <w:szCs w:val="20"/>
        </w:rPr>
        <w:t xml:space="preserve">This resource has been developed to facilitate the safe and effective </w:t>
      </w:r>
      <w:r w:rsidR="009E165F">
        <w:rPr>
          <w:i/>
          <w:iCs/>
          <w:sz w:val="20"/>
          <w:szCs w:val="20"/>
        </w:rPr>
        <w:t>switch</w:t>
      </w:r>
      <w:r w:rsidRPr="00A248B9">
        <w:rPr>
          <w:i/>
          <w:iCs/>
          <w:sz w:val="20"/>
          <w:szCs w:val="20"/>
        </w:rPr>
        <w:t xml:space="preserve"> from </w:t>
      </w:r>
      <w:proofErr w:type="spellStart"/>
      <w:r w:rsidRPr="00A248B9">
        <w:rPr>
          <w:i/>
          <w:iCs/>
          <w:sz w:val="20"/>
          <w:szCs w:val="20"/>
        </w:rPr>
        <w:t>Fostair</w:t>
      </w:r>
      <w:proofErr w:type="spellEnd"/>
      <w:r w:rsidRPr="00A248B9">
        <w:rPr>
          <w:i/>
          <w:iCs/>
          <w:sz w:val="20"/>
          <w:szCs w:val="20"/>
        </w:rPr>
        <w:t xml:space="preserve"> Inhaler to </w:t>
      </w:r>
      <w:proofErr w:type="spellStart"/>
      <w:r w:rsidRPr="00A248B9">
        <w:rPr>
          <w:i/>
          <w:iCs/>
          <w:sz w:val="20"/>
          <w:szCs w:val="20"/>
        </w:rPr>
        <w:t>Luforbec</w:t>
      </w:r>
      <w:proofErr w:type="spellEnd"/>
      <w:r w:rsidRPr="00A248B9">
        <w:rPr>
          <w:i/>
          <w:iCs/>
          <w:sz w:val="20"/>
          <w:szCs w:val="20"/>
        </w:rPr>
        <w:t>/</w:t>
      </w:r>
      <w:proofErr w:type="spellStart"/>
      <w:r w:rsidRPr="00A248B9">
        <w:rPr>
          <w:i/>
          <w:iCs/>
          <w:sz w:val="20"/>
          <w:szCs w:val="20"/>
        </w:rPr>
        <w:t>Bibecfo</w:t>
      </w:r>
      <w:proofErr w:type="spellEnd"/>
      <w:r w:rsidRPr="00A248B9">
        <w:rPr>
          <w:i/>
          <w:iCs/>
          <w:sz w:val="20"/>
          <w:szCs w:val="20"/>
        </w:rPr>
        <w:t xml:space="preserve"> </w:t>
      </w:r>
      <w:r w:rsidR="009E165F">
        <w:rPr>
          <w:i/>
          <w:iCs/>
          <w:sz w:val="20"/>
          <w:szCs w:val="20"/>
        </w:rPr>
        <w:t>i</w:t>
      </w:r>
      <w:r w:rsidRPr="00A248B9">
        <w:rPr>
          <w:i/>
          <w:iCs/>
          <w:sz w:val="20"/>
          <w:szCs w:val="20"/>
        </w:rPr>
        <w:t xml:space="preserve">nhaler using current accessible references and is correct at the time of approval. </w:t>
      </w:r>
    </w:p>
    <w:p w14:paraId="698099AC" w14:textId="77777777" w:rsidR="00A248B9" w:rsidRPr="00A248B9" w:rsidRDefault="00A248B9" w:rsidP="00A248B9">
      <w:pPr>
        <w:pStyle w:val="BodyText"/>
        <w:rPr>
          <w:i/>
          <w:iCs/>
          <w:sz w:val="20"/>
          <w:szCs w:val="20"/>
        </w:rPr>
      </w:pPr>
    </w:p>
    <w:p w14:paraId="05944836" w14:textId="77777777" w:rsidR="00A248B9" w:rsidRPr="00A248B9" w:rsidRDefault="00A248B9" w:rsidP="00A248B9">
      <w:pPr>
        <w:pStyle w:val="BodyText"/>
        <w:rPr>
          <w:i/>
          <w:iCs/>
          <w:sz w:val="20"/>
          <w:szCs w:val="20"/>
        </w:rPr>
      </w:pPr>
      <w:r w:rsidRPr="00A248B9">
        <w:rPr>
          <w:i/>
          <w:iCs/>
          <w:sz w:val="20"/>
          <w:szCs w:val="20"/>
        </w:rPr>
        <w:t>The output of the searches relies on accurate read coding. Clinicians using this resource must refer to local guidelines, use their own clinical judgement and take responsibility for their prescribing decisions.</w:t>
      </w:r>
    </w:p>
    <w:p w14:paraId="24A2E23C" w14:textId="77777777" w:rsidR="00A248B9" w:rsidRPr="00A248B9" w:rsidRDefault="00A248B9" w:rsidP="00A248B9">
      <w:pPr>
        <w:pStyle w:val="BodyText"/>
        <w:rPr>
          <w:i/>
          <w:iCs/>
          <w:sz w:val="20"/>
          <w:szCs w:val="20"/>
        </w:rPr>
      </w:pPr>
    </w:p>
    <w:p w14:paraId="17CDEE7E" w14:textId="77777777" w:rsidR="00A248B9" w:rsidRPr="00A248B9" w:rsidRDefault="00A248B9" w:rsidP="00A248B9">
      <w:pPr>
        <w:pStyle w:val="BodyText"/>
        <w:rPr>
          <w:i/>
          <w:iCs/>
          <w:sz w:val="20"/>
          <w:szCs w:val="20"/>
        </w:rPr>
      </w:pPr>
      <w:r w:rsidRPr="00A248B9">
        <w:rPr>
          <w:i/>
          <w:iCs/>
          <w:sz w:val="20"/>
          <w:szCs w:val="20"/>
        </w:rPr>
        <w:t>Nottingham and Nottinghamshire ICB (N&amp;N ICB) Medicines Optimisation Team only have oversight for the management of errors occurring within their own organisation. Each organisation is therefore responsible for any prescribing errors or omissions that may occur within their organisation because of using this resource and must follow their own safety governance process.</w:t>
      </w:r>
    </w:p>
    <w:p w14:paraId="52431151" w14:textId="77777777" w:rsidR="00A248B9" w:rsidRPr="00A248B9" w:rsidRDefault="00A248B9" w:rsidP="00A248B9">
      <w:pPr>
        <w:pStyle w:val="BodyText"/>
        <w:rPr>
          <w:i/>
          <w:iCs/>
          <w:sz w:val="20"/>
          <w:szCs w:val="20"/>
        </w:rPr>
      </w:pPr>
    </w:p>
    <w:p w14:paraId="12644D4C" w14:textId="311D655B" w:rsidR="00A248B9" w:rsidRDefault="00A248B9" w:rsidP="00A248B9">
      <w:pPr>
        <w:pStyle w:val="BodyText"/>
        <w:rPr>
          <w:i/>
          <w:iCs/>
          <w:sz w:val="20"/>
          <w:szCs w:val="20"/>
        </w:rPr>
      </w:pPr>
      <w:r w:rsidRPr="00A248B9">
        <w:rPr>
          <w:i/>
          <w:iCs/>
          <w:sz w:val="20"/>
          <w:szCs w:val="20"/>
        </w:rPr>
        <w:t xml:space="preserve">Organisations must inform N&amp;N ICB Medicines Optimisation team should they become aware of any errors or updates required within </w:t>
      </w:r>
      <w:r w:rsidR="009E165F">
        <w:rPr>
          <w:i/>
          <w:iCs/>
          <w:sz w:val="20"/>
          <w:szCs w:val="20"/>
        </w:rPr>
        <w:t>this</w:t>
      </w:r>
      <w:r w:rsidRPr="00A248B9">
        <w:rPr>
          <w:i/>
          <w:iCs/>
          <w:sz w:val="20"/>
          <w:szCs w:val="20"/>
        </w:rPr>
        <w:t xml:space="preserve"> document</w:t>
      </w:r>
      <w:r w:rsidR="00AD7EF4">
        <w:rPr>
          <w:i/>
          <w:iCs/>
          <w:sz w:val="20"/>
          <w:szCs w:val="20"/>
        </w:rPr>
        <w:t xml:space="preserve"> or supporting information</w:t>
      </w:r>
      <w:r w:rsidRPr="00A248B9">
        <w:rPr>
          <w:i/>
          <w:iCs/>
          <w:sz w:val="20"/>
          <w:szCs w:val="20"/>
        </w:rPr>
        <w:t>.</w:t>
      </w:r>
    </w:p>
    <w:p w14:paraId="5F9C10AF" w14:textId="77777777" w:rsidR="007D57D9" w:rsidRDefault="007D57D9" w:rsidP="00A248B9">
      <w:pPr>
        <w:pStyle w:val="BodyText"/>
        <w:rPr>
          <w:i/>
          <w:iCs/>
          <w:sz w:val="20"/>
          <w:szCs w:val="20"/>
        </w:rPr>
      </w:pPr>
    </w:p>
    <w:p w14:paraId="02A39B34" w14:textId="77777777" w:rsidR="007D57D9" w:rsidRDefault="007D57D9" w:rsidP="00A248B9">
      <w:pPr>
        <w:pStyle w:val="BodyText"/>
        <w:rPr>
          <w:i/>
          <w:iCs/>
          <w:sz w:val="20"/>
          <w:szCs w:val="20"/>
        </w:rPr>
      </w:pPr>
    </w:p>
    <w:p w14:paraId="3859D434" w14:textId="77777777" w:rsidR="007D57D9" w:rsidRDefault="007D57D9" w:rsidP="00A248B9">
      <w:pPr>
        <w:pStyle w:val="BodyText"/>
        <w:rPr>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707"/>
        <w:gridCol w:w="1795"/>
        <w:gridCol w:w="3360"/>
      </w:tblGrid>
      <w:tr w:rsidR="007D57D9" w14:paraId="28B16EAA" w14:textId="77777777" w:rsidTr="007D57D9">
        <w:tc>
          <w:tcPr>
            <w:tcW w:w="8908" w:type="dxa"/>
            <w:gridSpan w:val="4"/>
            <w:shd w:val="clear" w:color="auto" w:fill="auto"/>
          </w:tcPr>
          <w:p w14:paraId="25758664" w14:textId="77777777"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 xml:space="preserve">Version Control - </w:t>
            </w:r>
            <w:r w:rsidRPr="007D57D9">
              <w:rPr>
                <w:rFonts w:ascii="Calibri" w:eastAsia="Calibri" w:hAnsi="Calibri"/>
                <w:b/>
                <w:sz w:val="20"/>
                <w:szCs w:val="20"/>
              </w:rPr>
              <w:t>Guideline title</w:t>
            </w:r>
          </w:p>
        </w:tc>
      </w:tr>
      <w:tr w:rsidR="007D57D9" w14:paraId="7C57E2A9" w14:textId="77777777" w:rsidTr="007D57D9">
        <w:tc>
          <w:tcPr>
            <w:tcW w:w="1046" w:type="dxa"/>
            <w:shd w:val="clear" w:color="auto" w:fill="auto"/>
          </w:tcPr>
          <w:p w14:paraId="39EF3C69" w14:textId="77777777"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Version</w:t>
            </w:r>
          </w:p>
        </w:tc>
        <w:tc>
          <w:tcPr>
            <w:tcW w:w="2707" w:type="dxa"/>
            <w:shd w:val="clear" w:color="auto" w:fill="auto"/>
          </w:tcPr>
          <w:p w14:paraId="29ED5B04" w14:textId="77777777"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Author(s)</w:t>
            </w:r>
          </w:p>
        </w:tc>
        <w:tc>
          <w:tcPr>
            <w:tcW w:w="1795" w:type="dxa"/>
            <w:shd w:val="clear" w:color="auto" w:fill="auto"/>
          </w:tcPr>
          <w:p w14:paraId="11C97E40" w14:textId="77777777"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Date</w:t>
            </w:r>
          </w:p>
        </w:tc>
        <w:tc>
          <w:tcPr>
            <w:tcW w:w="3360" w:type="dxa"/>
            <w:shd w:val="clear" w:color="auto" w:fill="auto"/>
          </w:tcPr>
          <w:p w14:paraId="79FD0FE6" w14:textId="77777777"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Changes</w:t>
            </w:r>
          </w:p>
        </w:tc>
      </w:tr>
      <w:tr w:rsidR="007D57D9" w14:paraId="5BCBB048" w14:textId="77777777" w:rsidTr="007D57D9">
        <w:tc>
          <w:tcPr>
            <w:tcW w:w="1046" w:type="dxa"/>
            <w:shd w:val="clear" w:color="auto" w:fill="auto"/>
          </w:tcPr>
          <w:p w14:paraId="529F7431" w14:textId="77777777"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1.0</w:t>
            </w:r>
          </w:p>
        </w:tc>
        <w:tc>
          <w:tcPr>
            <w:tcW w:w="2707" w:type="dxa"/>
            <w:shd w:val="clear" w:color="auto" w:fill="auto"/>
          </w:tcPr>
          <w:p w14:paraId="4A394CF3" w14:textId="3BF94565"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Peter Richards</w:t>
            </w:r>
          </w:p>
        </w:tc>
        <w:tc>
          <w:tcPr>
            <w:tcW w:w="1795" w:type="dxa"/>
            <w:shd w:val="clear" w:color="auto" w:fill="auto"/>
          </w:tcPr>
          <w:p w14:paraId="1349D541" w14:textId="14BE84C4"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Oct 2023</w:t>
            </w:r>
          </w:p>
        </w:tc>
        <w:tc>
          <w:tcPr>
            <w:tcW w:w="3360" w:type="dxa"/>
            <w:shd w:val="clear" w:color="auto" w:fill="auto"/>
          </w:tcPr>
          <w:p w14:paraId="1286E353" w14:textId="64E80D4E"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p>
        </w:tc>
      </w:tr>
      <w:tr w:rsidR="007D57D9" w14:paraId="1447E005" w14:textId="77777777" w:rsidTr="007D57D9">
        <w:tc>
          <w:tcPr>
            <w:tcW w:w="1046" w:type="dxa"/>
            <w:shd w:val="clear" w:color="auto" w:fill="auto"/>
          </w:tcPr>
          <w:p w14:paraId="30369EC9" w14:textId="21AF9789"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2.0</w:t>
            </w:r>
          </w:p>
        </w:tc>
        <w:tc>
          <w:tcPr>
            <w:tcW w:w="2707" w:type="dxa"/>
            <w:shd w:val="clear" w:color="auto" w:fill="auto"/>
          </w:tcPr>
          <w:p w14:paraId="3A765CB0" w14:textId="218DEFB5"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Peter Richards</w:t>
            </w:r>
          </w:p>
        </w:tc>
        <w:tc>
          <w:tcPr>
            <w:tcW w:w="1795" w:type="dxa"/>
            <w:shd w:val="clear" w:color="auto" w:fill="auto"/>
          </w:tcPr>
          <w:p w14:paraId="69CE9358" w14:textId="241E4012"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Dec 2024</w:t>
            </w:r>
          </w:p>
        </w:tc>
        <w:tc>
          <w:tcPr>
            <w:tcW w:w="3360" w:type="dxa"/>
            <w:shd w:val="clear" w:color="auto" w:fill="auto"/>
          </w:tcPr>
          <w:p w14:paraId="34F774C8" w14:textId="643E8D6C" w:rsidR="007D57D9" w:rsidRPr="007D57D9" w:rsidRDefault="007D57D9" w:rsidP="00B327A0">
            <w:pPr>
              <w:tabs>
                <w:tab w:val="left" w:pos="839"/>
                <w:tab w:val="left" w:pos="840"/>
                <w:tab w:val="left" w:pos="8080"/>
              </w:tabs>
              <w:spacing w:before="100" w:beforeAutospacing="1" w:after="100" w:afterAutospacing="1"/>
              <w:ind w:right="153"/>
              <w:rPr>
                <w:rFonts w:ascii="Calibri" w:eastAsia="Calibri" w:hAnsi="Calibri"/>
                <w:sz w:val="20"/>
                <w:szCs w:val="20"/>
              </w:rPr>
            </w:pPr>
            <w:r w:rsidRPr="007D57D9">
              <w:rPr>
                <w:rFonts w:ascii="Calibri" w:eastAsia="Calibri" w:hAnsi="Calibri"/>
                <w:sz w:val="20"/>
                <w:szCs w:val="20"/>
              </w:rPr>
              <w:t xml:space="preserve">Inclusion of </w:t>
            </w:r>
            <w:proofErr w:type="spellStart"/>
            <w:r w:rsidRPr="007D57D9">
              <w:rPr>
                <w:rFonts w:ascii="Calibri" w:eastAsia="Calibri" w:hAnsi="Calibri"/>
                <w:sz w:val="20"/>
                <w:szCs w:val="20"/>
              </w:rPr>
              <w:t>Bibecfo</w:t>
            </w:r>
            <w:proofErr w:type="spellEnd"/>
          </w:p>
        </w:tc>
      </w:tr>
      <w:tr w:rsidR="007D57D9" w14:paraId="6E7C04A5" w14:textId="77777777" w:rsidTr="007D57D9">
        <w:trPr>
          <w:trHeight w:val="297"/>
        </w:trPr>
        <w:tc>
          <w:tcPr>
            <w:tcW w:w="1046" w:type="dxa"/>
            <w:shd w:val="clear" w:color="auto" w:fill="auto"/>
          </w:tcPr>
          <w:p w14:paraId="2469DE9C" w14:textId="77777777" w:rsidR="007D57D9" w:rsidRPr="006411BE" w:rsidRDefault="007D57D9" w:rsidP="00B327A0">
            <w:pPr>
              <w:tabs>
                <w:tab w:val="left" w:pos="839"/>
                <w:tab w:val="left" w:pos="840"/>
                <w:tab w:val="left" w:pos="8080"/>
              </w:tabs>
              <w:spacing w:before="100" w:beforeAutospacing="1" w:after="100" w:afterAutospacing="1"/>
              <w:ind w:right="153"/>
              <w:rPr>
                <w:rFonts w:ascii="Calibri" w:eastAsia="Calibri" w:hAnsi="Calibri"/>
              </w:rPr>
            </w:pPr>
          </w:p>
        </w:tc>
        <w:tc>
          <w:tcPr>
            <w:tcW w:w="2707" w:type="dxa"/>
            <w:shd w:val="clear" w:color="auto" w:fill="auto"/>
          </w:tcPr>
          <w:p w14:paraId="0C8DC265" w14:textId="77777777" w:rsidR="007D57D9" w:rsidRPr="006411BE" w:rsidRDefault="007D57D9" w:rsidP="00B327A0">
            <w:pPr>
              <w:tabs>
                <w:tab w:val="left" w:pos="839"/>
                <w:tab w:val="left" w:pos="840"/>
                <w:tab w:val="left" w:pos="8080"/>
              </w:tabs>
              <w:spacing w:before="100" w:beforeAutospacing="1" w:after="100" w:afterAutospacing="1"/>
              <w:ind w:right="153"/>
              <w:rPr>
                <w:rFonts w:ascii="Calibri" w:eastAsia="Calibri" w:hAnsi="Calibri"/>
              </w:rPr>
            </w:pPr>
          </w:p>
        </w:tc>
        <w:tc>
          <w:tcPr>
            <w:tcW w:w="1795" w:type="dxa"/>
            <w:shd w:val="clear" w:color="auto" w:fill="auto"/>
          </w:tcPr>
          <w:p w14:paraId="35674740" w14:textId="77777777" w:rsidR="007D57D9" w:rsidRPr="006411BE" w:rsidRDefault="007D57D9" w:rsidP="00B327A0">
            <w:pPr>
              <w:tabs>
                <w:tab w:val="left" w:pos="839"/>
                <w:tab w:val="left" w:pos="840"/>
                <w:tab w:val="left" w:pos="8080"/>
              </w:tabs>
              <w:spacing w:before="100" w:beforeAutospacing="1" w:after="100" w:afterAutospacing="1"/>
              <w:ind w:right="153"/>
              <w:rPr>
                <w:rFonts w:ascii="Calibri" w:eastAsia="Calibri" w:hAnsi="Calibri"/>
              </w:rPr>
            </w:pPr>
          </w:p>
        </w:tc>
        <w:tc>
          <w:tcPr>
            <w:tcW w:w="3360" w:type="dxa"/>
            <w:shd w:val="clear" w:color="auto" w:fill="auto"/>
          </w:tcPr>
          <w:p w14:paraId="562542AF" w14:textId="77777777" w:rsidR="007D57D9" w:rsidRPr="006411BE" w:rsidRDefault="007D57D9" w:rsidP="00B327A0">
            <w:pPr>
              <w:tabs>
                <w:tab w:val="left" w:pos="839"/>
                <w:tab w:val="left" w:pos="840"/>
                <w:tab w:val="left" w:pos="8080"/>
              </w:tabs>
              <w:spacing w:before="100" w:beforeAutospacing="1" w:after="100" w:afterAutospacing="1"/>
              <w:ind w:right="153"/>
              <w:rPr>
                <w:rFonts w:ascii="Calibri" w:eastAsia="Calibri" w:hAnsi="Calibri"/>
              </w:rPr>
            </w:pPr>
          </w:p>
        </w:tc>
      </w:tr>
    </w:tbl>
    <w:p w14:paraId="3EE655C7" w14:textId="77777777" w:rsidR="007D57D9" w:rsidRPr="00A248B9" w:rsidRDefault="007D57D9" w:rsidP="00A248B9">
      <w:pPr>
        <w:pStyle w:val="BodyText"/>
        <w:rPr>
          <w:i/>
          <w:iCs/>
          <w:sz w:val="20"/>
          <w:szCs w:val="20"/>
        </w:rPr>
      </w:pPr>
    </w:p>
    <w:sectPr w:rsidR="007D57D9" w:rsidRPr="00A248B9" w:rsidSect="00A248B9">
      <w:headerReference w:type="default" r:id="rId8"/>
      <w:footerReference w:type="default" r:id="rId9"/>
      <w:pgSz w:w="11906" w:h="16838"/>
      <w:pgMar w:top="1440" w:right="1440" w:bottom="1440" w:left="1440"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BDEF" w14:textId="77777777" w:rsidR="008D3A82" w:rsidRDefault="008D3A82" w:rsidP="007C292F">
      <w:r>
        <w:separator/>
      </w:r>
    </w:p>
  </w:endnote>
  <w:endnote w:type="continuationSeparator" w:id="0">
    <w:p w14:paraId="551D727C" w14:textId="77777777" w:rsidR="008D3A82" w:rsidRDefault="008D3A82" w:rsidP="007C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4A9" w14:textId="0C30E9E6" w:rsid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 xml:space="preserve">‘How-to’ Guide for Switching Patients from </w:t>
    </w:r>
    <w:proofErr w:type="spellStart"/>
    <w:r w:rsidRPr="00A248B9">
      <w:rPr>
        <w:rFonts w:asciiTheme="minorHAnsi" w:hAnsiTheme="minorHAnsi" w:cstheme="minorHAnsi"/>
        <w:sz w:val="22"/>
        <w:szCs w:val="22"/>
      </w:rPr>
      <w:t>Fostair</w:t>
    </w:r>
    <w:proofErr w:type="spellEnd"/>
    <w:r w:rsidRPr="00A248B9">
      <w:rPr>
        <w:rFonts w:asciiTheme="minorHAnsi" w:hAnsiTheme="minorHAnsi" w:cstheme="minorHAnsi"/>
        <w:sz w:val="22"/>
        <w:szCs w:val="22"/>
      </w:rPr>
      <w:t xml:space="preserve"> Inhaler to </w:t>
    </w:r>
    <w:proofErr w:type="spellStart"/>
    <w:r w:rsidRPr="00A248B9">
      <w:rPr>
        <w:rFonts w:asciiTheme="minorHAnsi" w:hAnsiTheme="minorHAnsi" w:cstheme="minorHAnsi"/>
        <w:sz w:val="22"/>
        <w:szCs w:val="22"/>
      </w:rPr>
      <w:t>Luforbec</w:t>
    </w:r>
    <w:proofErr w:type="spellEnd"/>
    <w:r w:rsidRPr="00A248B9">
      <w:rPr>
        <w:rFonts w:asciiTheme="minorHAnsi" w:hAnsiTheme="minorHAnsi" w:cstheme="minorHAnsi"/>
        <w:sz w:val="22"/>
        <w:szCs w:val="22"/>
      </w:rPr>
      <w:t>/</w:t>
    </w:r>
    <w:proofErr w:type="spellStart"/>
    <w:r w:rsidRPr="00A248B9">
      <w:rPr>
        <w:rFonts w:asciiTheme="minorHAnsi" w:hAnsiTheme="minorHAnsi" w:cstheme="minorHAnsi"/>
        <w:sz w:val="22"/>
        <w:szCs w:val="22"/>
      </w:rPr>
      <w:t>Bibecfo</w:t>
    </w:r>
    <w:proofErr w:type="spellEnd"/>
    <w:r w:rsidRPr="00A248B9">
      <w:rPr>
        <w:rFonts w:asciiTheme="minorHAnsi" w:hAnsiTheme="minorHAnsi" w:cstheme="minorHAnsi"/>
        <w:sz w:val="22"/>
        <w:szCs w:val="22"/>
      </w:rPr>
      <w:t xml:space="preserve"> Inhaler </w:t>
    </w:r>
  </w:p>
  <w:p w14:paraId="761D6EC0" w14:textId="5F04356C" w:rsidR="00A248B9" w:rsidRP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 xml:space="preserve">Author: </w:t>
    </w:r>
    <w:r>
      <w:rPr>
        <w:rFonts w:asciiTheme="minorHAnsi" w:hAnsiTheme="minorHAnsi" w:cstheme="minorHAnsi"/>
        <w:sz w:val="22"/>
        <w:szCs w:val="22"/>
      </w:rPr>
      <w:t>Medicines Optimisation Team NNICB</w:t>
    </w:r>
  </w:p>
  <w:p w14:paraId="622EBC7A" w14:textId="6181D424" w:rsidR="00A248B9" w:rsidRP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Version</w:t>
    </w:r>
    <w:r>
      <w:rPr>
        <w:rFonts w:asciiTheme="minorHAnsi" w:hAnsiTheme="minorHAnsi" w:cstheme="minorHAnsi"/>
        <w:sz w:val="22"/>
        <w:szCs w:val="22"/>
      </w:rPr>
      <w:t>: 2</w:t>
    </w:r>
  </w:p>
  <w:p w14:paraId="2C6E23CE" w14:textId="0E23BDB1" w:rsidR="00A248B9" w:rsidRP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Approved Date:</w:t>
    </w:r>
    <w:r>
      <w:rPr>
        <w:rFonts w:asciiTheme="minorHAnsi" w:hAnsiTheme="minorHAnsi" w:cstheme="minorHAnsi"/>
        <w:sz w:val="22"/>
        <w:szCs w:val="22"/>
      </w:rPr>
      <w:t xml:space="preserve"> December 2024                                                                    </w:t>
    </w:r>
    <w:r w:rsidRPr="00A248B9">
      <w:rPr>
        <w:rFonts w:asciiTheme="minorHAnsi" w:hAnsiTheme="minorHAnsi" w:cstheme="minorHAnsi"/>
        <w:sz w:val="22"/>
        <w:szCs w:val="22"/>
      </w:rPr>
      <w:t xml:space="preserve">Review Date: </w:t>
    </w:r>
    <w:r>
      <w:rPr>
        <w:rFonts w:asciiTheme="minorHAnsi" w:hAnsiTheme="minorHAnsi" w:cstheme="minorHAnsi"/>
        <w:sz w:val="22"/>
        <w:szCs w:val="22"/>
      </w:rPr>
      <w:t>December 2</w:t>
    </w:r>
    <w:r w:rsidRPr="00A248B9">
      <w:rPr>
        <w:rFonts w:asciiTheme="minorHAnsi" w:hAnsiTheme="minorHAnsi" w:cstheme="minorHAnsi"/>
        <w:sz w:val="22"/>
        <w:szCs w:val="22"/>
      </w:rPr>
      <w:t>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F21B" w14:textId="77777777" w:rsidR="008D3A82" w:rsidRDefault="008D3A82" w:rsidP="007C292F">
      <w:r>
        <w:separator/>
      </w:r>
    </w:p>
  </w:footnote>
  <w:footnote w:type="continuationSeparator" w:id="0">
    <w:p w14:paraId="79D736D2" w14:textId="77777777" w:rsidR="008D3A82" w:rsidRDefault="008D3A82" w:rsidP="007C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1301" w14:textId="4D951872" w:rsidR="00362E52" w:rsidRDefault="00362E52">
    <w:pPr>
      <w:pStyle w:val="Header"/>
    </w:pPr>
    <w:r w:rsidRPr="00FB1989">
      <w:rPr>
        <w:b/>
        <w:bCs/>
        <w:noProof/>
        <w:color w:val="0769B2"/>
        <w:sz w:val="30"/>
        <w:szCs w:val="30"/>
      </w:rPr>
      <w:drawing>
        <wp:anchor distT="0" distB="0" distL="114300" distR="114300" simplePos="0" relativeHeight="251659264" behindDoc="0" locked="0" layoutInCell="1" allowOverlap="1" wp14:anchorId="6BD7A17B" wp14:editId="125EC3F7">
          <wp:simplePos x="0" y="0"/>
          <wp:positionH relativeFrom="column">
            <wp:posOffset>5276850</wp:posOffset>
          </wp:positionH>
          <wp:positionV relativeFrom="paragraph">
            <wp:posOffset>-621030</wp:posOffset>
          </wp:positionV>
          <wp:extent cx="1245870" cy="1245870"/>
          <wp:effectExtent l="0" t="0" r="0" b="0"/>
          <wp:wrapNone/>
          <wp:docPr id="1901613363" name="Picture 19016133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FCB"/>
    <w:multiLevelType w:val="hybridMultilevel"/>
    <w:tmpl w:val="D47E8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85BD4"/>
    <w:multiLevelType w:val="hybridMultilevel"/>
    <w:tmpl w:val="3C505D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753A5A"/>
    <w:multiLevelType w:val="hybridMultilevel"/>
    <w:tmpl w:val="80B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1478B"/>
    <w:multiLevelType w:val="multilevel"/>
    <w:tmpl w:val="1848D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33B71"/>
    <w:multiLevelType w:val="hybridMultilevel"/>
    <w:tmpl w:val="28EC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06B97"/>
    <w:multiLevelType w:val="hybridMultilevel"/>
    <w:tmpl w:val="8E22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147BD"/>
    <w:multiLevelType w:val="hybridMultilevel"/>
    <w:tmpl w:val="A9D8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E0D5E"/>
    <w:multiLevelType w:val="hybridMultilevel"/>
    <w:tmpl w:val="11B0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65B03"/>
    <w:multiLevelType w:val="hybridMultilevel"/>
    <w:tmpl w:val="B91E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5FE"/>
    <w:multiLevelType w:val="hybridMultilevel"/>
    <w:tmpl w:val="03F29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0876481">
    <w:abstractNumId w:val="4"/>
  </w:num>
  <w:num w:numId="2" w16cid:durableId="224725573">
    <w:abstractNumId w:val="7"/>
  </w:num>
  <w:num w:numId="3" w16cid:durableId="1342050080">
    <w:abstractNumId w:val="5"/>
  </w:num>
  <w:num w:numId="4" w16cid:durableId="1302613139">
    <w:abstractNumId w:val="8"/>
  </w:num>
  <w:num w:numId="5" w16cid:durableId="793595580">
    <w:abstractNumId w:val="6"/>
  </w:num>
  <w:num w:numId="6" w16cid:durableId="377165912">
    <w:abstractNumId w:val="2"/>
  </w:num>
  <w:num w:numId="7" w16cid:durableId="480542609">
    <w:abstractNumId w:val="3"/>
  </w:num>
  <w:num w:numId="8" w16cid:durableId="127015930">
    <w:abstractNumId w:val="1"/>
  </w:num>
  <w:num w:numId="9" w16cid:durableId="721489013">
    <w:abstractNumId w:val="0"/>
  </w:num>
  <w:num w:numId="10" w16cid:durableId="1728144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18"/>
    <w:rsid w:val="00071D3C"/>
    <w:rsid w:val="00092349"/>
    <w:rsid w:val="000963EC"/>
    <w:rsid w:val="00130CAA"/>
    <w:rsid w:val="001332EF"/>
    <w:rsid w:val="00156A78"/>
    <w:rsid w:val="001C3C51"/>
    <w:rsid w:val="001C5B8B"/>
    <w:rsid w:val="002C7F44"/>
    <w:rsid w:val="002E7D14"/>
    <w:rsid w:val="00362E52"/>
    <w:rsid w:val="003D1FBE"/>
    <w:rsid w:val="00461C6D"/>
    <w:rsid w:val="00496D18"/>
    <w:rsid w:val="0049793F"/>
    <w:rsid w:val="005025F9"/>
    <w:rsid w:val="0052564F"/>
    <w:rsid w:val="0053498E"/>
    <w:rsid w:val="00572A18"/>
    <w:rsid w:val="0059628C"/>
    <w:rsid w:val="005E1946"/>
    <w:rsid w:val="006114AA"/>
    <w:rsid w:val="00656F64"/>
    <w:rsid w:val="00686937"/>
    <w:rsid w:val="006F30F7"/>
    <w:rsid w:val="00730B24"/>
    <w:rsid w:val="00755D7D"/>
    <w:rsid w:val="00790962"/>
    <w:rsid w:val="007C292F"/>
    <w:rsid w:val="007D57D9"/>
    <w:rsid w:val="007E4505"/>
    <w:rsid w:val="007F1AD1"/>
    <w:rsid w:val="008122CE"/>
    <w:rsid w:val="0087610B"/>
    <w:rsid w:val="008D3A82"/>
    <w:rsid w:val="008D6496"/>
    <w:rsid w:val="00900C99"/>
    <w:rsid w:val="009126C3"/>
    <w:rsid w:val="00920B06"/>
    <w:rsid w:val="00921997"/>
    <w:rsid w:val="00921A4A"/>
    <w:rsid w:val="009529DD"/>
    <w:rsid w:val="009629BE"/>
    <w:rsid w:val="0099749A"/>
    <w:rsid w:val="009A41E6"/>
    <w:rsid w:val="009E165F"/>
    <w:rsid w:val="00A12307"/>
    <w:rsid w:val="00A23833"/>
    <w:rsid w:val="00A248B9"/>
    <w:rsid w:val="00A77692"/>
    <w:rsid w:val="00AD7EF4"/>
    <w:rsid w:val="00BA3FCF"/>
    <w:rsid w:val="00BD3060"/>
    <w:rsid w:val="00BD72DC"/>
    <w:rsid w:val="00BD7C9E"/>
    <w:rsid w:val="00C40606"/>
    <w:rsid w:val="00C43CB6"/>
    <w:rsid w:val="00CB4CB6"/>
    <w:rsid w:val="00D06212"/>
    <w:rsid w:val="00D4094B"/>
    <w:rsid w:val="00D60FC7"/>
    <w:rsid w:val="00D67184"/>
    <w:rsid w:val="00D9543F"/>
    <w:rsid w:val="00DF337D"/>
    <w:rsid w:val="00E0659B"/>
    <w:rsid w:val="00EE14F4"/>
    <w:rsid w:val="00F01213"/>
    <w:rsid w:val="00F04385"/>
    <w:rsid w:val="00F26A50"/>
    <w:rsid w:val="00F73B89"/>
    <w:rsid w:val="00FC0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430B8"/>
  <w15:docId w15:val="{6C27D962-C4EB-434D-9BF1-F1278CA6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A18"/>
    <w:rPr>
      <w:rFonts w:ascii="Arial" w:hAnsi="Arial" w:cs="Arial"/>
      <w:sz w:val="22"/>
      <w:szCs w:val="22"/>
    </w:rPr>
  </w:style>
  <w:style w:type="character" w:customStyle="1" w:styleId="BodyTextChar">
    <w:name w:val="Body Text Char"/>
    <w:basedOn w:val="DefaultParagraphFont"/>
    <w:link w:val="BodyText"/>
    <w:rsid w:val="00572A18"/>
    <w:rPr>
      <w:rFonts w:ascii="Arial" w:eastAsia="Times New Roman" w:hAnsi="Arial" w:cs="Arial"/>
    </w:rPr>
  </w:style>
  <w:style w:type="paragraph" w:styleId="ListParagraph">
    <w:name w:val="List Paragraph"/>
    <w:basedOn w:val="Normal"/>
    <w:uiPriority w:val="34"/>
    <w:qFormat/>
    <w:rsid w:val="00572A18"/>
    <w:pPr>
      <w:ind w:left="720"/>
      <w:contextualSpacing/>
    </w:pPr>
  </w:style>
  <w:style w:type="paragraph" w:styleId="Header">
    <w:name w:val="header"/>
    <w:basedOn w:val="Normal"/>
    <w:link w:val="HeaderChar"/>
    <w:uiPriority w:val="99"/>
    <w:unhideWhenUsed/>
    <w:rsid w:val="007C292F"/>
    <w:pPr>
      <w:tabs>
        <w:tab w:val="center" w:pos="4513"/>
        <w:tab w:val="right" w:pos="9026"/>
      </w:tabs>
    </w:pPr>
  </w:style>
  <w:style w:type="character" w:customStyle="1" w:styleId="HeaderChar">
    <w:name w:val="Header Char"/>
    <w:basedOn w:val="DefaultParagraphFont"/>
    <w:link w:val="Header"/>
    <w:uiPriority w:val="99"/>
    <w:rsid w:val="007C29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92F"/>
    <w:pPr>
      <w:tabs>
        <w:tab w:val="center" w:pos="4513"/>
        <w:tab w:val="right" w:pos="9026"/>
      </w:tabs>
    </w:pPr>
  </w:style>
  <w:style w:type="character" w:customStyle="1" w:styleId="FooterChar">
    <w:name w:val="Footer Char"/>
    <w:basedOn w:val="DefaultParagraphFont"/>
    <w:link w:val="Footer"/>
    <w:uiPriority w:val="99"/>
    <w:rsid w:val="007C2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793F"/>
    <w:rPr>
      <w:color w:val="0000FF"/>
      <w:u w:val="single"/>
    </w:rPr>
  </w:style>
  <w:style w:type="character" w:styleId="UnresolvedMention">
    <w:name w:val="Unresolved Mention"/>
    <w:basedOn w:val="DefaultParagraphFont"/>
    <w:uiPriority w:val="99"/>
    <w:semiHidden/>
    <w:unhideWhenUsed/>
    <w:rsid w:val="00461C6D"/>
    <w:rPr>
      <w:color w:val="605E5C"/>
      <w:shd w:val="clear" w:color="auto" w:fill="E1DFDD"/>
    </w:rPr>
  </w:style>
  <w:style w:type="paragraph" w:customStyle="1" w:styleId="pf0">
    <w:name w:val="pf0"/>
    <w:basedOn w:val="Normal"/>
    <w:rsid w:val="00461C6D"/>
    <w:pPr>
      <w:spacing w:before="100" w:beforeAutospacing="1" w:after="100" w:afterAutospacing="1"/>
    </w:pPr>
    <w:rPr>
      <w:lang w:eastAsia="en-GB"/>
    </w:rPr>
  </w:style>
  <w:style w:type="character" w:customStyle="1" w:styleId="cf01">
    <w:name w:val="cf01"/>
    <w:basedOn w:val="DefaultParagraphFont"/>
    <w:rsid w:val="00461C6D"/>
    <w:rPr>
      <w:rFonts w:ascii="Segoe UI" w:hAnsi="Segoe UI" w:cs="Segoe UI" w:hint="default"/>
      <w:sz w:val="18"/>
      <w:szCs w:val="18"/>
    </w:rPr>
  </w:style>
  <w:style w:type="table" w:styleId="TableGrid">
    <w:name w:val="Table Grid"/>
    <w:basedOn w:val="TableNormal"/>
    <w:uiPriority w:val="59"/>
    <w:rsid w:val="00D0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2CE"/>
    <w:rPr>
      <w:sz w:val="16"/>
      <w:szCs w:val="16"/>
    </w:rPr>
  </w:style>
  <w:style w:type="paragraph" w:styleId="CommentText">
    <w:name w:val="annotation text"/>
    <w:basedOn w:val="Normal"/>
    <w:link w:val="CommentTextChar"/>
    <w:uiPriority w:val="99"/>
    <w:unhideWhenUsed/>
    <w:rsid w:val="008122CE"/>
    <w:rPr>
      <w:sz w:val="20"/>
      <w:szCs w:val="20"/>
    </w:rPr>
  </w:style>
  <w:style w:type="character" w:customStyle="1" w:styleId="CommentTextChar">
    <w:name w:val="Comment Text Char"/>
    <w:basedOn w:val="DefaultParagraphFont"/>
    <w:link w:val="CommentText"/>
    <w:uiPriority w:val="99"/>
    <w:rsid w:val="008122C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96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htbreat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Lisa Ryley - Governance &amp; Social Care Technician - NNICB</cp:lastModifiedBy>
  <cp:revision>3</cp:revision>
  <dcterms:created xsi:type="dcterms:W3CDTF">2024-12-18T17:22:00Z</dcterms:created>
  <dcterms:modified xsi:type="dcterms:W3CDTF">2024-12-18T17:24:00Z</dcterms:modified>
</cp:coreProperties>
</file>